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312" w:lineRule="auto"/>
        <w:jc w:val="center"/>
        <w:rPr>
          <w:rFonts w:ascii="Times New Roman" w:hAnsi="Times New Roman" w:eastAsia="宋体" w:cs="Times New Roman"/>
          <w:b/>
          <w:sz w:val="36"/>
          <w:szCs w:val="36"/>
        </w:rPr>
      </w:pPr>
      <w:r>
        <w:rPr>
          <w:rFonts w:ascii="Times New Roman" w:hAnsi="Times New Roman" w:eastAsia="宋体" w:cs="Times New Roman"/>
          <w:b/>
          <w:kern w:val="0"/>
          <w:sz w:val="48"/>
          <w:szCs w:val="48"/>
          <w:lang w:bidi="ar"/>
        </w:rPr>
        <w:t>广州市赛普特医药科技股份有限公司</w:t>
      </w:r>
    </w:p>
    <w:p>
      <w:pPr>
        <w:widowControl/>
        <w:spacing w:line="312" w:lineRule="auto"/>
        <w:jc w:val="center"/>
        <w:rPr>
          <w:rFonts w:ascii="Times New Roman" w:hAnsi="Times New Roman" w:eastAsia="宋体" w:cs="Times New Roman"/>
          <w:spacing w:val="26"/>
          <w:sz w:val="96"/>
          <w:szCs w:val="96"/>
        </w:rPr>
      </w:pPr>
      <w:r>
        <w:rPr>
          <w:rFonts w:ascii="Times New Roman" w:hAnsi="Times New Roman" w:eastAsia="宋体" w:cs="Times New Roman"/>
          <w:spacing w:val="26"/>
          <w:kern w:val="0"/>
          <w:sz w:val="96"/>
          <w:szCs w:val="96"/>
          <w:lang w:bidi="ar"/>
        </w:rPr>
        <w:t xml:space="preserve"> </w:t>
      </w:r>
    </w:p>
    <w:p>
      <w:pPr>
        <w:widowControl/>
        <w:spacing w:line="312" w:lineRule="auto"/>
        <w:jc w:val="center"/>
        <w:rPr>
          <w:rFonts w:ascii="Times New Roman" w:hAnsi="Times New Roman" w:eastAsia="宋体" w:cs="Times New Roman"/>
          <w:spacing w:val="26"/>
          <w:sz w:val="96"/>
          <w:szCs w:val="96"/>
        </w:rPr>
      </w:pPr>
      <w:r>
        <w:rPr>
          <w:rFonts w:ascii="Times New Roman" w:hAnsi="Times New Roman" w:eastAsia="宋体" w:cs="Times New Roman"/>
          <w:spacing w:val="26"/>
          <w:kern w:val="0"/>
          <w:sz w:val="96"/>
          <w:szCs w:val="96"/>
          <w:lang w:bidi="ar"/>
        </w:rPr>
        <w:t xml:space="preserve"> </w:t>
      </w:r>
    </w:p>
    <w:p>
      <w:pPr>
        <w:widowControl/>
        <w:spacing w:line="312" w:lineRule="auto"/>
        <w:jc w:val="center"/>
        <w:rPr>
          <w:rFonts w:ascii="Times New Roman" w:hAnsi="Times New Roman" w:eastAsia="宋体" w:cs="Times New Roman"/>
          <w:spacing w:val="26"/>
          <w:sz w:val="96"/>
          <w:szCs w:val="96"/>
        </w:rPr>
      </w:pPr>
      <w:r>
        <w:rPr>
          <w:rFonts w:ascii="Times New Roman" w:hAnsi="Times New Roman" w:eastAsia="宋体" w:cs="Times New Roman"/>
          <w:spacing w:val="26"/>
          <w:kern w:val="0"/>
          <w:sz w:val="96"/>
          <w:szCs w:val="96"/>
          <w:lang w:bidi="ar"/>
        </w:rPr>
        <w:t xml:space="preserve"> </w:t>
      </w:r>
    </w:p>
    <w:p>
      <w:pPr>
        <w:widowControl/>
        <w:spacing w:line="312" w:lineRule="auto"/>
        <w:jc w:val="center"/>
        <w:rPr>
          <w:rFonts w:ascii="Times New Roman" w:hAnsi="Times New Roman" w:eastAsia="宋体" w:cs="Times New Roman"/>
          <w:b/>
          <w:bCs/>
          <w:spacing w:val="26"/>
          <w:sz w:val="96"/>
          <w:szCs w:val="96"/>
        </w:rPr>
      </w:pPr>
      <w:r>
        <w:rPr>
          <w:rFonts w:ascii="Times New Roman" w:hAnsi="Times New Roman" w:eastAsia="宋体" w:cs="Times New Roman"/>
          <w:b/>
          <w:bCs/>
          <w:spacing w:val="26"/>
          <w:kern w:val="0"/>
          <w:sz w:val="96"/>
          <w:szCs w:val="96"/>
          <w:lang w:bidi="ar"/>
        </w:rPr>
        <w:t>设备招标文件</w:t>
      </w:r>
    </w:p>
    <w:p>
      <w:pPr>
        <w:widowControl/>
        <w:spacing w:line="312" w:lineRule="auto"/>
        <w:ind w:firstLine="900" w:firstLineChars="300"/>
        <w:jc w:val="left"/>
        <w:rPr>
          <w:rFonts w:ascii="Times New Roman" w:hAnsi="Times New Roman" w:eastAsia="宋体" w:cs="Times New Roman"/>
          <w:sz w:val="30"/>
          <w:szCs w:val="30"/>
        </w:rPr>
      </w:pPr>
      <w:r>
        <w:rPr>
          <w:rFonts w:ascii="Times New Roman" w:hAnsi="Times New Roman" w:eastAsia="宋体" w:cs="Times New Roman"/>
          <w:kern w:val="0"/>
          <w:sz w:val="30"/>
          <w:szCs w:val="30"/>
          <w:lang w:bidi="ar"/>
        </w:rPr>
        <w:t xml:space="preserve"> </w:t>
      </w:r>
    </w:p>
    <w:p>
      <w:pPr>
        <w:widowControl/>
        <w:spacing w:line="312" w:lineRule="auto"/>
        <w:ind w:firstLine="900" w:firstLineChars="300"/>
        <w:jc w:val="left"/>
        <w:rPr>
          <w:rFonts w:ascii="Times New Roman" w:hAnsi="Times New Roman" w:eastAsia="宋体" w:cs="Times New Roman"/>
          <w:sz w:val="30"/>
          <w:szCs w:val="30"/>
        </w:rPr>
      </w:pPr>
      <w:r>
        <w:rPr>
          <w:rFonts w:ascii="Times New Roman" w:hAnsi="Times New Roman" w:eastAsia="宋体" w:cs="Times New Roman"/>
          <w:kern w:val="0"/>
          <w:sz w:val="30"/>
          <w:szCs w:val="30"/>
          <w:lang w:bidi="ar"/>
        </w:rPr>
        <w:t xml:space="preserve"> </w:t>
      </w:r>
    </w:p>
    <w:p>
      <w:pPr>
        <w:widowControl/>
        <w:spacing w:line="312" w:lineRule="auto"/>
        <w:ind w:firstLine="900" w:firstLineChars="300"/>
        <w:jc w:val="left"/>
        <w:rPr>
          <w:rFonts w:ascii="Times New Roman" w:hAnsi="Times New Roman" w:eastAsia="宋体" w:cs="Times New Roman"/>
          <w:sz w:val="30"/>
          <w:szCs w:val="30"/>
        </w:rPr>
      </w:pPr>
      <w:r>
        <w:rPr>
          <w:rFonts w:ascii="Times New Roman" w:hAnsi="Times New Roman" w:eastAsia="宋体" w:cs="Times New Roman"/>
          <w:kern w:val="0"/>
          <w:sz w:val="30"/>
          <w:szCs w:val="30"/>
          <w:lang w:bidi="ar"/>
        </w:rPr>
        <w:t xml:space="preserve"> </w:t>
      </w:r>
    </w:p>
    <w:p>
      <w:pPr>
        <w:widowControl/>
        <w:spacing w:line="312" w:lineRule="auto"/>
        <w:ind w:firstLine="900" w:firstLineChars="300"/>
        <w:jc w:val="left"/>
        <w:rPr>
          <w:rFonts w:ascii="Times New Roman" w:hAnsi="Times New Roman" w:eastAsia="宋体" w:cs="Times New Roman"/>
          <w:sz w:val="30"/>
          <w:szCs w:val="30"/>
        </w:rPr>
      </w:pPr>
      <w:r>
        <w:rPr>
          <w:rFonts w:ascii="Times New Roman" w:hAnsi="Times New Roman" w:eastAsia="宋体" w:cs="Times New Roman"/>
          <w:kern w:val="0"/>
          <w:sz w:val="30"/>
          <w:szCs w:val="30"/>
          <w:lang w:bidi="ar"/>
        </w:rPr>
        <w:t xml:space="preserve"> </w:t>
      </w:r>
    </w:p>
    <w:p>
      <w:pPr>
        <w:widowControl/>
        <w:spacing w:line="312" w:lineRule="auto"/>
        <w:ind w:firstLine="900" w:firstLineChars="300"/>
        <w:jc w:val="left"/>
        <w:rPr>
          <w:rFonts w:ascii="Times New Roman" w:hAnsi="Times New Roman" w:eastAsia="宋体" w:cs="Times New Roman"/>
          <w:sz w:val="30"/>
          <w:szCs w:val="30"/>
        </w:rPr>
      </w:pPr>
      <w:r>
        <w:rPr>
          <w:rFonts w:ascii="Times New Roman" w:hAnsi="Times New Roman" w:eastAsia="宋体" w:cs="Times New Roman"/>
          <w:kern w:val="0"/>
          <w:sz w:val="30"/>
          <w:szCs w:val="30"/>
          <w:lang w:bidi="ar"/>
        </w:rPr>
        <w:t xml:space="preserve"> </w:t>
      </w:r>
    </w:p>
    <w:p>
      <w:pPr>
        <w:widowControl/>
        <w:spacing w:line="312" w:lineRule="auto"/>
        <w:jc w:val="left"/>
        <w:rPr>
          <w:rFonts w:ascii="Times New Roman" w:hAnsi="Times New Roman" w:eastAsia="宋体" w:cs="Times New Roman"/>
          <w:sz w:val="30"/>
          <w:szCs w:val="30"/>
        </w:rPr>
      </w:pPr>
      <w:r>
        <w:rPr>
          <w:rFonts w:ascii="Times New Roman" w:hAnsi="Times New Roman" w:eastAsia="宋体" w:cs="Times New Roman"/>
          <w:kern w:val="0"/>
          <w:sz w:val="30"/>
          <w:szCs w:val="30"/>
          <w:lang w:bidi="ar"/>
        </w:rPr>
        <w:t xml:space="preserve"> </w:t>
      </w:r>
    </w:p>
    <w:p>
      <w:pPr>
        <w:pStyle w:val="2"/>
        <w:widowControl/>
        <w:spacing w:before="240" w:after="240" w:line="312" w:lineRule="auto"/>
        <w:rPr>
          <w:rFonts w:hint="default" w:ascii="Times New Roman" w:hAnsi="Times New Roman"/>
          <w:b/>
          <w:sz w:val="48"/>
          <w:szCs w:val="48"/>
        </w:rPr>
      </w:pPr>
      <w:r>
        <w:rPr>
          <w:rFonts w:hint="default" w:ascii="Times New Roman" w:hAnsi="Times New Roman"/>
          <w:b/>
          <w:bCs/>
          <w:sz w:val="30"/>
          <w:szCs w:val="30"/>
        </w:rPr>
        <w:t>招    标  人：</w:t>
      </w:r>
      <w:r>
        <w:rPr>
          <w:rFonts w:hint="default" w:ascii="Times New Roman" w:hAnsi="Times New Roman"/>
          <w:b/>
          <w:bCs/>
          <w:sz w:val="30"/>
          <w:szCs w:val="30"/>
          <w:u w:val="single"/>
        </w:rPr>
        <w:t xml:space="preserve"> 广州市赛普特医药科技股份有限公司</w:t>
      </w:r>
    </w:p>
    <w:p>
      <w:pPr>
        <w:widowControl/>
        <w:spacing w:line="312" w:lineRule="auto"/>
        <w:jc w:val="left"/>
        <w:rPr>
          <w:rFonts w:ascii="Times New Roman" w:hAnsi="Times New Roman" w:eastAsia="宋体" w:cs="Times New Roman"/>
          <w:b/>
          <w:bCs/>
          <w:kern w:val="0"/>
          <w:sz w:val="32"/>
          <w:szCs w:val="32"/>
          <w:lang w:bidi="ar"/>
        </w:rPr>
      </w:pPr>
      <w:r>
        <w:rPr>
          <w:rFonts w:ascii="Times New Roman" w:hAnsi="Times New Roman" w:eastAsia="宋体" w:cs="Times New Roman"/>
          <w:b/>
          <w:bCs/>
          <w:kern w:val="0"/>
          <w:sz w:val="32"/>
          <w:szCs w:val="32"/>
          <w:lang w:bidi="ar"/>
        </w:rPr>
        <w:t>编 制 日 期：</w:t>
      </w:r>
      <w:r>
        <w:rPr>
          <w:rFonts w:ascii="Times New Roman" w:hAnsi="Times New Roman" w:eastAsia="宋体" w:cs="Times New Roman"/>
          <w:b/>
          <w:bCs/>
          <w:kern w:val="0"/>
          <w:sz w:val="32"/>
          <w:szCs w:val="32"/>
          <w:u w:val="single"/>
          <w:lang w:bidi="ar"/>
        </w:rPr>
        <w:t xml:space="preserve">  </w:t>
      </w:r>
      <w:r>
        <w:rPr>
          <w:rFonts w:hint="eastAsia" w:ascii="Times New Roman" w:hAnsi="Times New Roman" w:eastAsia="宋体" w:cs="Times New Roman"/>
          <w:b/>
          <w:bCs/>
          <w:kern w:val="0"/>
          <w:sz w:val="32"/>
          <w:szCs w:val="32"/>
          <w:u w:val="single"/>
          <w:lang w:val="en-US" w:eastAsia="zh-CN" w:bidi="ar"/>
        </w:rPr>
        <w:t xml:space="preserve">    </w:t>
      </w:r>
      <w:r>
        <w:rPr>
          <w:rFonts w:ascii="Times New Roman" w:hAnsi="Times New Roman" w:eastAsia="宋体" w:cs="Times New Roman"/>
          <w:b/>
          <w:bCs/>
          <w:kern w:val="0"/>
          <w:sz w:val="32"/>
          <w:szCs w:val="32"/>
          <w:u w:val="single"/>
          <w:lang w:bidi="ar"/>
        </w:rPr>
        <w:t xml:space="preserve">  </w:t>
      </w:r>
      <w:r>
        <w:rPr>
          <w:rFonts w:ascii="Times New Roman" w:hAnsi="Times New Roman" w:eastAsia="宋体" w:cs="Times New Roman"/>
          <w:b/>
          <w:bCs/>
          <w:kern w:val="0"/>
          <w:sz w:val="32"/>
          <w:szCs w:val="32"/>
          <w:lang w:bidi="ar"/>
        </w:rPr>
        <w:t>年</w:t>
      </w:r>
      <w:r>
        <w:rPr>
          <w:rFonts w:ascii="Times New Roman" w:hAnsi="Times New Roman" w:eastAsia="宋体" w:cs="Times New Roman"/>
          <w:b/>
          <w:bCs/>
          <w:kern w:val="0"/>
          <w:sz w:val="32"/>
          <w:szCs w:val="32"/>
          <w:u w:val="single"/>
          <w:lang w:bidi="ar"/>
        </w:rPr>
        <w:t xml:space="preserve">     </w:t>
      </w:r>
      <w:r>
        <w:rPr>
          <w:rFonts w:ascii="Times New Roman" w:hAnsi="Times New Roman" w:eastAsia="宋体" w:cs="Times New Roman"/>
          <w:b/>
          <w:bCs/>
          <w:kern w:val="0"/>
          <w:sz w:val="32"/>
          <w:szCs w:val="32"/>
          <w:lang w:bidi="ar"/>
        </w:rPr>
        <w:t>月</w:t>
      </w:r>
      <w:r>
        <w:rPr>
          <w:rFonts w:ascii="Times New Roman" w:hAnsi="Times New Roman" w:eastAsia="宋体" w:cs="Times New Roman"/>
          <w:b/>
          <w:bCs/>
          <w:kern w:val="0"/>
          <w:sz w:val="32"/>
          <w:szCs w:val="32"/>
          <w:u w:val="single"/>
          <w:lang w:bidi="ar"/>
        </w:rPr>
        <w:t xml:space="preserve">  </w:t>
      </w:r>
      <w:r>
        <w:rPr>
          <w:rFonts w:hint="eastAsia" w:ascii="Times New Roman" w:hAnsi="Times New Roman" w:eastAsia="宋体" w:cs="Times New Roman"/>
          <w:b/>
          <w:bCs/>
          <w:kern w:val="0"/>
          <w:sz w:val="32"/>
          <w:szCs w:val="32"/>
          <w:u w:val="single"/>
          <w:lang w:val="en-US" w:eastAsia="zh-CN" w:bidi="ar"/>
        </w:rPr>
        <w:t xml:space="preserve"> </w:t>
      </w:r>
      <w:r>
        <w:rPr>
          <w:rFonts w:ascii="Times New Roman" w:hAnsi="Times New Roman" w:eastAsia="宋体" w:cs="Times New Roman"/>
          <w:b/>
          <w:bCs/>
          <w:kern w:val="0"/>
          <w:sz w:val="32"/>
          <w:szCs w:val="32"/>
          <w:u w:val="single"/>
          <w:lang w:bidi="ar"/>
        </w:rPr>
        <w:t xml:space="preserve">  </w:t>
      </w:r>
      <w:r>
        <w:rPr>
          <w:rFonts w:ascii="Times New Roman" w:hAnsi="Times New Roman" w:eastAsia="宋体" w:cs="Times New Roman"/>
          <w:b/>
          <w:bCs/>
          <w:kern w:val="0"/>
          <w:sz w:val="32"/>
          <w:szCs w:val="32"/>
          <w:lang w:bidi="ar"/>
        </w:rPr>
        <w:t>日</w:t>
      </w:r>
    </w:p>
    <w:p>
      <w:pPr>
        <w:widowControl/>
        <w:spacing w:line="312" w:lineRule="auto"/>
        <w:jc w:val="left"/>
        <w:rPr>
          <w:rFonts w:ascii="Times New Roman" w:hAnsi="Times New Roman" w:eastAsia="宋体" w:cs="Times New Roman"/>
          <w:b/>
          <w:bCs/>
          <w:kern w:val="0"/>
          <w:sz w:val="32"/>
          <w:szCs w:val="32"/>
          <w:lang w:bidi="ar"/>
        </w:rPr>
      </w:pPr>
    </w:p>
    <w:p>
      <w:pPr>
        <w:widowControl/>
        <w:spacing w:line="312" w:lineRule="auto"/>
        <w:jc w:val="left"/>
        <w:rPr>
          <w:rFonts w:ascii="Times New Roman" w:hAnsi="Times New Roman" w:eastAsia="宋体" w:cs="Times New Roman"/>
          <w:b/>
          <w:bCs/>
          <w:kern w:val="0"/>
          <w:sz w:val="32"/>
          <w:szCs w:val="32"/>
          <w:lang w:bidi="ar"/>
        </w:rPr>
      </w:pPr>
    </w:p>
    <w:p>
      <w:pPr>
        <w:widowControl/>
        <w:spacing w:line="312" w:lineRule="auto"/>
        <w:jc w:val="left"/>
        <w:rPr>
          <w:rFonts w:ascii="Times New Roman" w:hAnsi="Times New Roman" w:eastAsia="宋体" w:cs="Times New Roman"/>
          <w:b/>
          <w:bCs/>
          <w:kern w:val="0"/>
          <w:sz w:val="32"/>
          <w:szCs w:val="32"/>
          <w:lang w:bidi="ar"/>
        </w:rPr>
      </w:pPr>
    </w:p>
    <w:sdt>
      <w:sdtPr>
        <w:rPr>
          <w:rFonts w:ascii="宋体" w:hAnsi="宋体" w:eastAsia="宋体"/>
          <w:b/>
          <w:bCs/>
        </w:rPr>
        <w:id w:val="147482942"/>
        <w:docPartObj>
          <w:docPartGallery w:val="Table of Contents"/>
          <w:docPartUnique/>
        </w:docPartObj>
      </w:sdtPr>
      <w:sdtEndPr>
        <w:rPr>
          <w:rFonts w:ascii="Times New Roman" w:hAnsi="Times New Roman" w:eastAsia="宋体" w:cs="Times New Roman"/>
          <w:b/>
          <w:bCs w:val="0"/>
          <w:color w:val="000000"/>
          <w:kern w:val="44"/>
          <w:sz w:val="24"/>
          <w:lang w:bidi="ar"/>
        </w:rPr>
      </w:sdtEndPr>
      <w:sdtContent>
        <w:p>
          <w:pPr>
            <w:jc w:val="center"/>
            <w:rPr>
              <w:rFonts w:ascii="宋体" w:hAnsi="宋体" w:eastAsia="宋体"/>
            </w:rPr>
          </w:pPr>
        </w:p>
        <w:p>
          <w:pPr>
            <w:jc w:val="center"/>
            <w:rPr>
              <w:rFonts w:ascii="宋体" w:hAnsi="宋体" w:eastAsia="宋体"/>
            </w:rPr>
          </w:pPr>
        </w:p>
        <w:p>
          <w:pPr>
            <w:jc w:val="center"/>
            <w:rPr>
              <w:rFonts w:ascii="宋体" w:hAnsi="宋体" w:eastAsia="宋体"/>
            </w:rPr>
          </w:pPr>
        </w:p>
        <w:p>
          <w:pPr>
            <w:jc w:val="center"/>
            <w:rPr>
              <w:b/>
              <w:bCs/>
              <w:sz w:val="32"/>
              <w:szCs w:val="32"/>
            </w:rPr>
          </w:pPr>
          <w:r>
            <w:rPr>
              <w:rFonts w:ascii="宋体" w:hAnsi="宋体" w:eastAsia="宋体"/>
              <w:b/>
              <w:bCs/>
              <w:sz w:val="32"/>
              <w:szCs w:val="32"/>
            </w:rPr>
            <w:t>目</w:t>
          </w:r>
          <w:r>
            <w:rPr>
              <w:rFonts w:hint="eastAsia" w:ascii="宋体" w:hAnsi="宋体" w:eastAsia="宋体"/>
              <w:b/>
              <w:bCs/>
              <w:sz w:val="32"/>
              <w:szCs w:val="32"/>
            </w:rPr>
            <w:t xml:space="preserve">   </w:t>
          </w:r>
          <w:r>
            <w:rPr>
              <w:rFonts w:ascii="宋体" w:hAnsi="宋体" w:eastAsia="宋体"/>
              <w:b/>
              <w:bCs/>
              <w:sz w:val="32"/>
              <w:szCs w:val="32"/>
            </w:rPr>
            <w:t>录</w:t>
          </w:r>
        </w:p>
        <w:p>
          <w:pPr>
            <w:pStyle w:val="18"/>
            <w:tabs>
              <w:tab w:val="right" w:leader="dot" w:pos="8306"/>
            </w:tabs>
            <w:spacing w:line="600" w:lineRule="auto"/>
            <w:rPr>
              <w:b/>
              <w:sz w:val="24"/>
              <w:szCs w:val="24"/>
            </w:rPr>
          </w:pPr>
          <w:r>
            <w:rPr>
              <w:color w:val="000000"/>
              <w:kern w:val="44"/>
              <w:sz w:val="24"/>
              <w:szCs w:val="24"/>
            </w:rPr>
            <w:fldChar w:fldCharType="begin"/>
          </w:r>
          <w:r>
            <w:rPr>
              <w:color w:val="000000"/>
              <w:kern w:val="44"/>
              <w:sz w:val="24"/>
              <w:szCs w:val="24"/>
            </w:rPr>
            <w:instrText xml:space="preserve">TOC \o "1-2" \h \u </w:instrText>
          </w:r>
          <w:r>
            <w:rPr>
              <w:color w:val="000000"/>
              <w:kern w:val="44"/>
              <w:sz w:val="24"/>
              <w:szCs w:val="24"/>
            </w:rPr>
            <w:fldChar w:fldCharType="separate"/>
          </w:r>
        </w:p>
        <w:p>
          <w:pPr>
            <w:pStyle w:val="18"/>
            <w:tabs>
              <w:tab w:val="right" w:pos="3600"/>
              <w:tab w:val="right" w:leader="dot" w:pos="8306"/>
            </w:tabs>
            <w:spacing w:line="600" w:lineRule="auto"/>
            <w:rPr>
              <w:b/>
              <w:sz w:val="24"/>
              <w:szCs w:val="24"/>
            </w:rPr>
          </w:pPr>
        </w:p>
        <w:p>
          <w:pPr>
            <w:pStyle w:val="18"/>
            <w:tabs>
              <w:tab w:val="right" w:leader="dot" w:pos="8306"/>
            </w:tabs>
            <w:spacing w:line="600" w:lineRule="auto"/>
            <w:rPr>
              <w:b/>
              <w:sz w:val="24"/>
              <w:szCs w:val="24"/>
            </w:rPr>
          </w:pPr>
          <w:r>
            <w:fldChar w:fldCharType="begin"/>
          </w:r>
          <w:r>
            <w:instrText xml:space="preserve"> HYPERLINK \l "_Toc19300" </w:instrText>
          </w:r>
          <w:r>
            <w:fldChar w:fldCharType="separate"/>
          </w:r>
          <w:r>
            <w:rPr>
              <w:b/>
              <w:kern w:val="2"/>
              <w:sz w:val="24"/>
              <w:szCs w:val="24"/>
            </w:rPr>
            <w:t xml:space="preserve">一、 </w:t>
          </w:r>
          <w:r>
            <w:rPr>
              <w:b/>
              <w:bCs/>
              <w:kern w:val="2"/>
              <w:sz w:val="24"/>
              <w:szCs w:val="24"/>
            </w:rPr>
            <w:t>招标邀请</w:t>
          </w:r>
          <w:r>
            <w:rPr>
              <w:b/>
              <w:sz w:val="24"/>
              <w:szCs w:val="24"/>
            </w:rPr>
            <w:tab/>
          </w:r>
          <w:r>
            <w:rPr>
              <w:b/>
              <w:sz w:val="24"/>
              <w:szCs w:val="24"/>
            </w:rPr>
            <w:fldChar w:fldCharType="begin"/>
          </w:r>
          <w:r>
            <w:rPr>
              <w:b/>
              <w:sz w:val="24"/>
              <w:szCs w:val="24"/>
            </w:rPr>
            <w:instrText xml:space="preserve"> PAGEREF _Toc19300 \h </w:instrText>
          </w:r>
          <w:r>
            <w:rPr>
              <w:b/>
              <w:sz w:val="24"/>
              <w:szCs w:val="24"/>
            </w:rPr>
            <w:fldChar w:fldCharType="separate"/>
          </w:r>
          <w:r>
            <w:rPr>
              <w:b/>
              <w:sz w:val="24"/>
              <w:szCs w:val="24"/>
            </w:rPr>
            <w:t>3</w:t>
          </w:r>
          <w:r>
            <w:rPr>
              <w:b/>
              <w:sz w:val="24"/>
              <w:szCs w:val="24"/>
            </w:rPr>
            <w:fldChar w:fldCharType="end"/>
          </w:r>
          <w:r>
            <w:rPr>
              <w:b/>
              <w:sz w:val="24"/>
              <w:szCs w:val="24"/>
            </w:rPr>
            <w:fldChar w:fldCharType="end"/>
          </w:r>
        </w:p>
        <w:p>
          <w:pPr>
            <w:pStyle w:val="18"/>
            <w:tabs>
              <w:tab w:val="right" w:leader="dot" w:pos="8306"/>
            </w:tabs>
            <w:spacing w:line="600" w:lineRule="auto"/>
            <w:rPr>
              <w:sz w:val="24"/>
              <w:szCs w:val="24"/>
            </w:rPr>
          </w:pPr>
          <w:r>
            <w:fldChar w:fldCharType="begin"/>
          </w:r>
          <w:r>
            <w:instrText xml:space="preserve"> HYPERLINK \l "_Toc26627" </w:instrText>
          </w:r>
          <w:r>
            <w:fldChar w:fldCharType="separate"/>
          </w:r>
          <w:r>
            <w:rPr>
              <w:b/>
              <w:bCs/>
              <w:kern w:val="2"/>
              <w:sz w:val="24"/>
              <w:szCs w:val="24"/>
            </w:rPr>
            <w:t>二、 投标须知</w:t>
          </w:r>
          <w:r>
            <w:rPr>
              <w:b/>
              <w:sz w:val="24"/>
              <w:szCs w:val="24"/>
            </w:rPr>
            <w:tab/>
          </w:r>
          <w:r>
            <w:rPr>
              <w:b/>
              <w:sz w:val="24"/>
              <w:szCs w:val="24"/>
            </w:rPr>
            <w:fldChar w:fldCharType="begin"/>
          </w:r>
          <w:r>
            <w:rPr>
              <w:b/>
              <w:sz w:val="24"/>
              <w:szCs w:val="24"/>
            </w:rPr>
            <w:instrText xml:space="preserve"> PAGEREF _Toc26627 \h </w:instrText>
          </w:r>
          <w:r>
            <w:rPr>
              <w:b/>
              <w:sz w:val="24"/>
              <w:szCs w:val="24"/>
            </w:rPr>
            <w:fldChar w:fldCharType="separate"/>
          </w:r>
          <w:r>
            <w:rPr>
              <w:b/>
              <w:sz w:val="24"/>
              <w:szCs w:val="24"/>
            </w:rPr>
            <w:t>3</w:t>
          </w:r>
          <w:r>
            <w:rPr>
              <w:b/>
              <w:sz w:val="24"/>
              <w:szCs w:val="24"/>
            </w:rPr>
            <w:fldChar w:fldCharType="end"/>
          </w:r>
          <w:r>
            <w:rPr>
              <w:b/>
              <w:sz w:val="24"/>
              <w:szCs w:val="24"/>
            </w:rPr>
            <w:fldChar w:fldCharType="end"/>
          </w:r>
        </w:p>
        <w:p>
          <w:pPr>
            <w:pStyle w:val="18"/>
            <w:tabs>
              <w:tab w:val="right" w:leader="dot" w:pos="8306"/>
            </w:tabs>
            <w:spacing w:line="600" w:lineRule="auto"/>
            <w:rPr>
              <w:sz w:val="24"/>
              <w:szCs w:val="24"/>
            </w:rPr>
          </w:pPr>
          <w:r>
            <w:fldChar w:fldCharType="begin"/>
          </w:r>
          <w:r>
            <w:instrText xml:space="preserve"> HYPERLINK \l "_Toc3292" </w:instrText>
          </w:r>
          <w:r>
            <w:fldChar w:fldCharType="separate"/>
          </w:r>
          <w:r>
            <w:rPr>
              <w:b/>
              <w:bCs/>
              <w:sz w:val="24"/>
              <w:szCs w:val="24"/>
            </w:rPr>
            <w:t xml:space="preserve">三、 </w:t>
          </w:r>
          <w:r>
            <w:rPr>
              <w:b/>
              <w:bCs/>
              <w:kern w:val="2"/>
              <w:sz w:val="24"/>
              <w:szCs w:val="24"/>
            </w:rPr>
            <w:t>开标及评标</w:t>
          </w:r>
          <w:r>
            <w:rPr>
              <w:b/>
              <w:sz w:val="24"/>
              <w:szCs w:val="24"/>
            </w:rPr>
            <w:tab/>
          </w:r>
          <w:r>
            <w:rPr>
              <w:b/>
              <w:sz w:val="24"/>
              <w:szCs w:val="24"/>
            </w:rPr>
            <w:fldChar w:fldCharType="begin"/>
          </w:r>
          <w:r>
            <w:rPr>
              <w:b/>
              <w:sz w:val="24"/>
              <w:szCs w:val="24"/>
            </w:rPr>
            <w:instrText xml:space="preserve"> PAGEREF _Toc3292 \h </w:instrText>
          </w:r>
          <w:r>
            <w:rPr>
              <w:b/>
              <w:sz w:val="24"/>
              <w:szCs w:val="24"/>
            </w:rPr>
            <w:fldChar w:fldCharType="separate"/>
          </w:r>
          <w:r>
            <w:rPr>
              <w:b/>
              <w:sz w:val="24"/>
              <w:szCs w:val="24"/>
            </w:rPr>
            <w:t>4</w:t>
          </w:r>
          <w:r>
            <w:rPr>
              <w:b/>
              <w:sz w:val="24"/>
              <w:szCs w:val="24"/>
            </w:rPr>
            <w:fldChar w:fldCharType="end"/>
          </w:r>
          <w:r>
            <w:rPr>
              <w:b/>
              <w:sz w:val="24"/>
              <w:szCs w:val="24"/>
            </w:rPr>
            <w:fldChar w:fldCharType="end"/>
          </w:r>
        </w:p>
        <w:p>
          <w:pPr>
            <w:pStyle w:val="18"/>
            <w:tabs>
              <w:tab w:val="right" w:leader="dot" w:pos="8306"/>
            </w:tabs>
            <w:spacing w:line="600" w:lineRule="auto"/>
            <w:rPr>
              <w:b/>
              <w:sz w:val="24"/>
              <w:szCs w:val="24"/>
            </w:rPr>
          </w:pPr>
          <w:r>
            <w:fldChar w:fldCharType="begin"/>
          </w:r>
          <w:r>
            <w:instrText xml:space="preserve"> HYPERLINK \l "_Toc15696" </w:instrText>
          </w:r>
          <w:r>
            <w:fldChar w:fldCharType="separate"/>
          </w:r>
          <w:r>
            <w:rPr>
              <w:b/>
              <w:bCs/>
              <w:kern w:val="2"/>
              <w:sz w:val="24"/>
              <w:szCs w:val="24"/>
            </w:rPr>
            <w:t>四、 附件</w:t>
          </w:r>
          <w:r>
            <w:rPr>
              <w:b/>
              <w:sz w:val="24"/>
              <w:szCs w:val="24"/>
            </w:rPr>
            <w:tab/>
          </w:r>
          <w:r>
            <w:rPr>
              <w:b/>
              <w:sz w:val="24"/>
              <w:szCs w:val="24"/>
            </w:rPr>
            <w:fldChar w:fldCharType="begin"/>
          </w:r>
          <w:r>
            <w:rPr>
              <w:b/>
              <w:sz w:val="24"/>
              <w:szCs w:val="24"/>
            </w:rPr>
            <w:instrText xml:space="preserve"> PAGEREF _Toc15696 \h </w:instrText>
          </w:r>
          <w:r>
            <w:rPr>
              <w:b/>
              <w:sz w:val="24"/>
              <w:szCs w:val="24"/>
            </w:rPr>
            <w:fldChar w:fldCharType="separate"/>
          </w:r>
          <w:r>
            <w:rPr>
              <w:b/>
              <w:sz w:val="24"/>
              <w:szCs w:val="24"/>
            </w:rPr>
            <w:t>5</w:t>
          </w:r>
          <w:r>
            <w:rPr>
              <w:b/>
              <w:sz w:val="24"/>
              <w:szCs w:val="24"/>
            </w:rPr>
            <w:fldChar w:fldCharType="end"/>
          </w:r>
          <w:r>
            <w:rPr>
              <w:b/>
              <w:sz w:val="24"/>
              <w:szCs w:val="24"/>
            </w:rPr>
            <w:fldChar w:fldCharType="end"/>
          </w:r>
        </w:p>
        <w:p>
          <w:pPr>
            <w:pStyle w:val="18"/>
            <w:tabs>
              <w:tab w:val="right" w:leader="dot" w:pos="8306"/>
            </w:tabs>
            <w:spacing w:line="600" w:lineRule="auto"/>
            <w:rPr>
              <w:b/>
              <w:sz w:val="24"/>
              <w:szCs w:val="24"/>
            </w:rPr>
          </w:pPr>
          <w:r>
            <w:fldChar w:fldCharType="begin"/>
          </w:r>
          <w:r>
            <w:instrText xml:space="preserve"> HYPERLINK \l "_Toc26664" </w:instrText>
          </w:r>
          <w:r>
            <w:fldChar w:fldCharType="separate"/>
          </w:r>
          <w:r>
            <w:rPr>
              <w:b/>
              <w:bCs/>
              <w:sz w:val="24"/>
              <w:szCs w:val="24"/>
              <w:lang w:bidi="ar"/>
            </w:rPr>
            <w:t>附件1：招标书内容及格式</w:t>
          </w:r>
          <w:r>
            <w:rPr>
              <w:b/>
              <w:sz w:val="24"/>
              <w:szCs w:val="24"/>
            </w:rPr>
            <w:tab/>
          </w:r>
          <w:r>
            <w:rPr>
              <w:rFonts w:hint="eastAsia"/>
              <w:b/>
              <w:sz w:val="24"/>
              <w:szCs w:val="24"/>
            </w:rPr>
            <w:t>6</w:t>
          </w:r>
          <w:r>
            <w:rPr>
              <w:rFonts w:hint="eastAsia"/>
              <w:b/>
              <w:sz w:val="24"/>
              <w:szCs w:val="24"/>
            </w:rPr>
            <w:fldChar w:fldCharType="end"/>
          </w:r>
        </w:p>
        <w:p>
          <w:pPr>
            <w:pStyle w:val="18"/>
            <w:tabs>
              <w:tab w:val="right" w:leader="dot" w:pos="8306"/>
            </w:tabs>
            <w:spacing w:line="600" w:lineRule="auto"/>
            <w:rPr>
              <w:b/>
              <w:sz w:val="24"/>
              <w:szCs w:val="24"/>
            </w:rPr>
          </w:pPr>
          <w:r>
            <w:fldChar w:fldCharType="begin"/>
          </w:r>
          <w:r>
            <w:instrText xml:space="preserve"> HYPERLINK \l "_Toc14067" </w:instrText>
          </w:r>
          <w:r>
            <w:fldChar w:fldCharType="separate"/>
          </w:r>
          <w:r>
            <w:rPr>
              <w:b/>
              <w:bCs/>
              <w:sz w:val="24"/>
              <w:szCs w:val="24"/>
              <w:lang w:bidi="ar"/>
            </w:rPr>
            <w:t>附件2：设备性能及参数要求（见设备清单）</w:t>
          </w:r>
          <w:r>
            <w:rPr>
              <w:b/>
              <w:sz w:val="24"/>
              <w:szCs w:val="24"/>
            </w:rPr>
            <w:tab/>
          </w:r>
          <w:r>
            <w:rPr>
              <w:rFonts w:hint="eastAsia"/>
              <w:b/>
              <w:sz w:val="24"/>
              <w:szCs w:val="24"/>
            </w:rPr>
            <w:t>1</w:t>
          </w:r>
          <w:r>
            <w:rPr>
              <w:rFonts w:hint="eastAsia"/>
              <w:b/>
              <w:sz w:val="24"/>
              <w:szCs w:val="24"/>
            </w:rPr>
            <w:fldChar w:fldCharType="end"/>
          </w:r>
          <w:r>
            <w:rPr>
              <w:rFonts w:hint="eastAsia"/>
              <w:b/>
              <w:color w:val="000000"/>
              <w:kern w:val="44"/>
              <w:sz w:val="24"/>
              <w:szCs w:val="24"/>
            </w:rPr>
            <w:t>0</w:t>
          </w:r>
        </w:p>
        <w:p>
          <w:pPr>
            <w:pStyle w:val="18"/>
            <w:tabs>
              <w:tab w:val="right" w:leader="dot" w:pos="8306"/>
            </w:tabs>
            <w:spacing w:line="600" w:lineRule="auto"/>
            <w:rPr>
              <w:b/>
              <w:sz w:val="24"/>
              <w:szCs w:val="24"/>
            </w:rPr>
          </w:pPr>
          <w:r>
            <w:fldChar w:fldCharType="begin"/>
          </w:r>
          <w:r>
            <w:instrText xml:space="preserve"> HYPERLINK \l "_Toc17418" </w:instrText>
          </w:r>
          <w:r>
            <w:fldChar w:fldCharType="separate"/>
          </w:r>
          <w:r>
            <w:rPr>
              <w:b/>
              <w:bCs/>
              <w:sz w:val="24"/>
              <w:szCs w:val="24"/>
              <w:lang w:bidi="ar"/>
            </w:rPr>
            <w:t>附件3：合同</w:t>
          </w:r>
          <w:r>
            <w:rPr>
              <w:rFonts w:hint="eastAsia"/>
              <w:b/>
              <w:bCs/>
              <w:sz w:val="24"/>
              <w:szCs w:val="24"/>
              <w:lang w:bidi="ar"/>
            </w:rPr>
            <w:t>基本</w:t>
          </w:r>
          <w:r>
            <w:rPr>
              <w:b/>
              <w:bCs/>
              <w:sz w:val="24"/>
              <w:szCs w:val="24"/>
              <w:lang w:bidi="ar"/>
            </w:rPr>
            <w:t>条款</w:t>
          </w:r>
          <w:r>
            <w:rPr>
              <w:b/>
              <w:sz w:val="24"/>
              <w:szCs w:val="24"/>
            </w:rPr>
            <w:tab/>
          </w:r>
          <w:r>
            <w:rPr>
              <w:rFonts w:hint="eastAsia"/>
              <w:b/>
              <w:sz w:val="24"/>
              <w:szCs w:val="24"/>
            </w:rPr>
            <w:t>1</w:t>
          </w:r>
          <w:r>
            <w:rPr>
              <w:rFonts w:hint="eastAsia"/>
              <w:b/>
              <w:sz w:val="24"/>
              <w:szCs w:val="24"/>
            </w:rPr>
            <w:fldChar w:fldCharType="end"/>
          </w:r>
          <w:r>
            <w:rPr>
              <w:rFonts w:hint="eastAsia"/>
              <w:b/>
              <w:color w:val="000000"/>
              <w:kern w:val="44"/>
              <w:sz w:val="24"/>
              <w:szCs w:val="24"/>
            </w:rPr>
            <w:t>1</w:t>
          </w:r>
        </w:p>
        <w:p>
          <w:pPr>
            <w:pStyle w:val="17"/>
            <w:widowControl/>
            <w:spacing w:line="600" w:lineRule="auto"/>
            <w:jc w:val="center"/>
            <w:rPr>
              <w:rFonts w:ascii="Times New Roman" w:hAnsi="Times New Roman"/>
              <w:bCs w:val="0"/>
              <w:color w:val="000000"/>
              <w:sz w:val="24"/>
              <w:szCs w:val="24"/>
              <w:lang w:bidi="ar"/>
            </w:rPr>
            <w:sectPr>
              <w:footerReference r:id="rId3" w:type="default"/>
              <w:pgSz w:w="11906" w:h="16838"/>
              <w:pgMar w:top="1440" w:right="1800" w:bottom="1440" w:left="1800" w:header="851" w:footer="992" w:gutter="0"/>
              <w:cols w:space="425" w:num="1"/>
              <w:docGrid w:type="lines" w:linePitch="312" w:charSpace="0"/>
            </w:sectPr>
          </w:pPr>
          <w:r>
            <w:rPr>
              <w:rFonts w:ascii="Times New Roman" w:hAnsi="Times New Roman"/>
              <w:bCs w:val="0"/>
              <w:color w:val="000000"/>
              <w:sz w:val="24"/>
              <w:szCs w:val="24"/>
            </w:rPr>
            <w:fldChar w:fldCharType="end"/>
          </w:r>
        </w:p>
      </w:sdtContent>
    </w:sdt>
    <w:p>
      <w:pPr>
        <w:widowControl/>
        <w:numPr>
          <w:ilvl w:val="0"/>
          <w:numId w:val="1"/>
        </w:numPr>
        <w:spacing w:line="360" w:lineRule="auto"/>
        <w:ind w:firstLine="0"/>
        <w:jc w:val="left"/>
        <w:outlineLvl w:val="0"/>
        <w:rPr>
          <w:rFonts w:ascii="Times New Roman" w:hAnsi="Times New Roman" w:eastAsia="宋体" w:cs="Times New Roman"/>
          <w:sz w:val="24"/>
        </w:rPr>
      </w:pPr>
      <w:bookmarkStart w:id="0" w:name="_Toc85016580"/>
      <w:bookmarkEnd w:id="0"/>
      <w:bookmarkStart w:id="1" w:name="_Toc19300"/>
      <w:r>
        <w:rPr>
          <w:rFonts w:ascii="Times New Roman" w:hAnsi="Times New Roman" w:eastAsia="宋体" w:cs="Times New Roman"/>
          <w:b/>
          <w:bCs/>
          <w:sz w:val="24"/>
        </w:rPr>
        <w:t>招标邀请</w:t>
      </w:r>
      <w:bookmarkEnd w:id="1"/>
    </w:p>
    <w:p>
      <w:pPr>
        <w:pStyle w:val="2"/>
        <w:widowControl/>
        <w:numPr>
          <w:ilvl w:val="0"/>
          <w:numId w:val="2"/>
        </w:numPr>
        <w:spacing w:line="360" w:lineRule="auto"/>
        <w:rPr>
          <w:rFonts w:hint="default" w:ascii="Times New Roman" w:hAnsi="Times New Roman"/>
          <w:sz w:val="24"/>
          <w:szCs w:val="24"/>
          <w:u w:val="single"/>
        </w:rPr>
      </w:pPr>
      <w:r>
        <w:rPr>
          <w:rFonts w:hint="default" w:ascii="Times New Roman" w:hAnsi="Times New Roman"/>
          <w:sz w:val="24"/>
          <w:szCs w:val="24"/>
        </w:rPr>
        <w:t>招标人：</w:t>
      </w:r>
      <w:r>
        <w:rPr>
          <w:rFonts w:hint="default" w:ascii="Times New Roman" w:hAnsi="Times New Roman"/>
          <w:sz w:val="24"/>
          <w:szCs w:val="24"/>
          <w:u w:val="single"/>
        </w:rPr>
        <w:t xml:space="preserve"> </w:t>
      </w:r>
      <w:r>
        <w:rPr>
          <w:rFonts w:ascii="Times New Roman" w:hAnsi="Times New Roman"/>
          <w:sz w:val="24"/>
          <w:szCs w:val="24"/>
          <w:u w:val="single"/>
        </w:rPr>
        <w:t xml:space="preserve">  </w:t>
      </w:r>
      <w:r>
        <w:rPr>
          <w:rFonts w:hint="default" w:ascii="Times New Roman" w:hAnsi="Times New Roman"/>
          <w:sz w:val="24"/>
          <w:szCs w:val="24"/>
          <w:u w:val="single"/>
        </w:rPr>
        <w:t>广州市赛普特医药科技股份有限公司</w:t>
      </w:r>
      <w:r>
        <w:rPr>
          <w:rFonts w:ascii="Times New Roman" w:hAnsi="Times New Roman"/>
          <w:sz w:val="24"/>
          <w:szCs w:val="24"/>
          <w:u w:val="single"/>
        </w:rPr>
        <w:t xml:space="preserve">    </w:t>
      </w:r>
    </w:p>
    <w:p>
      <w:pPr>
        <w:pStyle w:val="2"/>
        <w:widowControl/>
        <w:numPr>
          <w:ilvl w:val="0"/>
          <w:numId w:val="2"/>
        </w:numPr>
        <w:spacing w:line="360" w:lineRule="auto"/>
        <w:rPr>
          <w:rFonts w:hint="default" w:ascii="Times New Roman" w:hAnsi="Times New Roman"/>
          <w:sz w:val="24"/>
          <w:szCs w:val="24"/>
        </w:rPr>
      </w:pPr>
      <w:r>
        <w:rPr>
          <w:rFonts w:hint="default" w:ascii="Times New Roman" w:hAnsi="Times New Roman"/>
          <w:sz w:val="24"/>
          <w:szCs w:val="24"/>
        </w:rPr>
        <w:t>招标货物名称及型号：</w:t>
      </w:r>
      <w:r>
        <w:rPr>
          <w:rFonts w:hint="default" w:hAnsi="宋体" w:cs="宋体"/>
          <w:u w:val="single"/>
        </w:rPr>
        <w:t xml:space="preserve"> </w:t>
      </w:r>
      <w:r>
        <w:rPr>
          <w:rFonts w:hAnsi="宋体" w:cs="宋体"/>
          <w:u w:val="single"/>
        </w:rPr>
        <w:t xml:space="preserve"> </w:t>
      </w:r>
      <w:r>
        <w:rPr>
          <w:rFonts w:hint="eastAsia" w:hAnsi="宋体" w:cs="宋体"/>
          <w:u w:val="single"/>
          <w:lang w:val="en-US" w:eastAsia="zh-CN"/>
        </w:rPr>
        <w:t xml:space="preserve"> </w:t>
      </w:r>
      <w:r>
        <w:rPr>
          <w:rFonts w:hint="eastAsia" w:hAnsi="宋体" w:cs="宋体"/>
          <w:sz w:val="24"/>
          <w:szCs w:val="24"/>
          <w:u w:val="single"/>
          <w:lang w:val="en-US" w:eastAsia="zh-CN"/>
        </w:rPr>
        <w:t xml:space="preserve">伯腾（BioTek）Synergy H1多功能酶标仪（含电脑和3Q验证） </w:t>
      </w:r>
      <w:r>
        <w:rPr>
          <w:rFonts w:hint="default" w:hAnsi="宋体" w:cs="宋体"/>
          <w:u w:val="single"/>
        </w:rPr>
        <w:t xml:space="preserve"> </w:t>
      </w:r>
      <w:r>
        <w:rPr>
          <w:rFonts w:hAnsi="宋体" w:cs="宋体"/>
          <w:u w:val="single"/>
        </w:rPr>
        <w:t xml:space="preserve">  </w:t>
      </w:r>
      <w:r>
        <w:rPr>
          <w:rFonts w:hint="default" w:hAnsi="宋体" w:cs="宋体"/>
          <w:u w:val="single"/>
        </w:rPr>
        <w:t xml:space="preserve"> </w:t>
      </w:r>
      <w:r>
        <w:rPr>
          <w:rFonts w:hAnsi="宋体" w:cs="宋体"/>
          <w:u w:val="single"/>
        </w:rPr>
        <w:t xml:space="preserve"> </w:t>
      </w:r>
      <w:r>
        <w:rPr>
          <w:rFonts w:hint="default" w:ascii="Times New Roman" w:hAnsi="Times New Roman"/>
          <w:sz w:val="24"/>
          <w:szCs w:val="24"/>
        </w:rPr>
        <w:t xml:space="preserve"> （报价注意：单价模式报价，各部件需单独报价，招标人会根据需要进行选购）</w:t>
      </w:r>
    </w:p>
    <w:p>
      <w:pPr>
        <w:pStyle w:val="2"/>
        <w:widowControl/>
        <w:numPr>
          <w:ilvl w:val="0"/>
          <w:numId w:val="2"/>
        </w:numPr>
        <w:spacing w:line="360" w:lineRule="auto"/>
        <w:rPr>
          <w:rFonts w:hint="default" w:ascii="Times New Roman" w:hAnsi="Times New Roman"/>
          <w:sz w:val="24"/>
          <w:szCs w:val="24"/>
        </w:rPr>
      </w:pPr>
      <w:r>
        <w:rPr>
          <w:rFonts w:hint="default" w:ascii="Times New Roman" w:hAnsi="Times New Roman"/>
          <w:sz w:val="24"/>
          <w:szCs w:val="24"/>
        </w:rPr>
        <w:t>主要技术规格：</w:t>
      </w:r>
      <w:r>
        <w:rPr>
          <w:rFonts w:hint="default" w:ascii="Times New Roman" w:hAnsi="Times New Roman"/>
          <w:sz w:val="24"/>
          <w:szCs w:val="24"/>
          <w:u w:val="single"/>
        </w:rPr>
        <w:t xml:space="preserve"> </w:t>
      </w:r>
      <w:r>
        <w:rPr>
          <w:rFonts w:ascii="Times New Roman" w:hAnsi="Times New Roman"/>
          <w:sz w:val="24"/>
          <w:szCs w:val="24"/>
          <w:u w:val="single"/>
        </w:rPr>
        <w:t xml:space="preserve">  </w:t>
      </w:r>
      <w:r>
        <w:rPr>
          <w:rFonts w:hint="default" w:ascii="宋体" w:hAnsi="宋体" w:cs="宋体"/>
          <w:sz w:val="24"/>
          <w:szCs w:val="24"/>
          <w:u w:val="single"/>
          <w:lang w:val="en-US" w:eastAsia="zh-CN"/>
        </w:rPr>
        <w:t xml:space="preserve"> </w:t>
      </w:r>
      <w:r>
        <w:rPr>
          <w:rFonts w:hint="eastAsia" w:hAnsi="宋体" w:cs="宋体"/>
          <w:sz w:val="24"/>
          <w:szCs w:val="24"/>
          <w:u w:val="single"/>
          <w:lang w:val="en-US" w:eastAsia="zh-CN"/>
        </w:rPr>
        <w:t xml:space="preserve">见附件二仪器设备参数 </w:t>
      </w:r>
      <w:r>
        <w:rPr>
          <w:rFonts w:ascii="Times New Roman" w:hAnsi="Times New Roman"/>
          <w:sz w:val="24"/>
          <w:szCs w:val="24"/>
          <w:u w:val="single"/>
        </w:rPr>
        <w:t xml:space="preserve">   </w:t>
      </w:r>
      <w:r>
        <w:rPr>
          <w:rFonts w:hint="default" w:ascii="Times New Roman" w:hAnsi="Times New Roman"/>
          <w:sz w:val="24"/>
          <w:szCs w:val="24"/>
        </w:rPr>
        <w:t>。</w:t>
      </w:r>
    </w:p>
    <w:p>
      <w:pPr>
        <w:pStyle w:val="2"/>
        <w:widowControl/>
        <w:numPr>
          <w:ilvl w:val="0"/>
          <w:numId w:val="2"/>
        </w:numPr>
        <w:spacing w:line="360" w:lineRule="auto"/>
        <w:rPr>
          <w:rFonts w:hint="default" w:ascii="Times New Roman" w:hAnsi="Times New Roman"/>
          <w:sz w:val="24"/>
          <w:szCs w:val="24"/>
        </w:rPr>
      </w:pPr>
      <w:r>
        <w:rPr>
          <w:rFonts w:hint="default" w:ascii="Times New Roman" w:hAnsi="Times New Roman"/>
          <w:sz w:val="24"/>
          <w:szCs w:val="24"/>
        </w:rPr>
        <w:t>交货时间：</w:t>
      </w:r>
      <w:r>
        <w:rPr>
          <w:rFonts w:hint="default" w:ascii="Times New Roman" w:hAnsi="Times New Roman" w:cs="Times New Roman"/>
          <w:u w:val="single"/>
          <w:lang w:val="en-US" w:eastAsia="zh-CN"/>
        </w:rPr>
        <w:t xml:space="preserve">  2022  </w:t>
      </w:r>
      <w:r>
        <w:rPr>
          <w:rFonts w:hint="default" w:ascii="Times New Roman" w:hAnsi="Times New Roman" w:eastAsia="宋体" w:cs="Times New Roman"/>
          <w:kern w:val="2"/>
          <w:sz w:val="24"/>
          <w:szCs w:val="24"/>
        </w:rPr>
        <w:t xml:space="preserve"> 年</w:t>
      </w:r>
      <w:r>
        <w:rPr>
          <w:rFonts w:hint="default" w:ascii="Times New Roman" w:hAnsi="Times New Roman" w:cs="Times New Roman"/>
          <w:u w:val="single"/>
          <w:lang w:val="en-US" w:eastAsia="zh-CN"/>
        </w:rPr>
        <w:t xml:space="preserve">   0</w:t>
      </w:r>
      <w:r>
        <w:rPr>
          <w:rFonts w:hint="eastAsia" w:ascii="Times New Roman" w:hAnsi="Times New Roman" w:cs="Times New Roman"/>
          <w:u w:val="single"/>
          <w:lang w:val="en-US" w:eastAsia="zh-CN"/>
        </w:rPr>
        <w:t>4</w:t>
      </w:r>
      <w:r>
        <w:rPr>
          <w:rFonts w:hint="default" w:ascii="Times New Roman" w:hAnsi="Times New Roman" w:cs="Times New Roman"/>
          <w:u w:val="single"/>
          <w:lang w:val="en-US" w:eastAsia="zh-CN"/>
        </w:rPr>
        <w:t xml:space="preserve">   </w:t>
      </w:r>
      <w:r>
        <w:rPr>
          <w:rFonts w:hint="default" w:ascii="Times New Roman" w:hAnsi="Times New Roman" w:eastAsia="宋体" w:cs="Times New Roman"/>
          <w:kern w:val="2"/>
          <w:sz w:val="24"/>
          <w:szCs w:val="24"/>
        </w:rPr>
        <w:t>月</w:t>
      </w:r>
      <w:r>
        <w:rPr>
          <w:rFonts w:hint="default" w:ascii="Times New Roman" w:hAnsi="Times New Roman" w:cs="Times New Roman"/>
          <w:u w:val="single"/>
          <w:lang w:val="en-US" w:eastAsia="zh-CN"/>
        </w:rPr>
        <w:t xml:space="preserve">   31  </w:t>
      </w:r>
      <w:r>
        <w:rPr>
          <w:rFonts w:hint="default" w:ascii="Times New Roman" w:hAnsi="Times New Roman" w:eastAsia="宋体" w:cs="Times New Roman"/>
          <w:kern w:val="2"/>
          <w:sz w:val="24"/>
          <w:szCs w:val="24"/>
        </w:rPr>
        <w:t>日前</w:t>
      </w:r>
      <w:r>
        <w:rPr>
          <w:rFonts w:hint="default" w:ascii="Times New Roman" w:hAnsi="Times New Roman"/>
          <w:sz w:val="24"/>
          <w:szCs w:val="24"/>
        </w:rPr>
        <w:t>。</w:t>
      </w:r>
    </w:p>
    <w:p>
      <w:pPr>
        <w:pStyle w:val="2"/>
        <w:widowControl/>
        <w:numPr>
          <w:ilvl w:val="0"/>
          <w:numId w:val="2"/>
        </w:numPr>
        <w:spacing w:line="360" w:lineRule="auto"/>
        <w:rPr>
          <w:rFonts w:hint="default" w:ascii="Times New Roman" w:hAnsi="Times New Roman"/>
          <w:sz w:val="24"/>
          <w:szCs w:val="24"/>
        </w:rPr>
      </w:pPr>
      <w:r>
        <w:rPr>
          <w:rFonts w:hint="default" w:ascii="Times New Roman" w:hAnsi="Times New Roman"/>
          <w:sz w:val="24"/>
          <w:szCs w:val="24"/>
        </w:rPr>
        <w:t>交货地点：广州市黄埔区揽月路3号D栋105、107楼</w:t>
      </w:r>
    </w:p>
    <w:p>
      <w:pPr>
        <w:pStyle w:val="2"/>
        <w:widowControl/>
        <w:numPr>
          <w:ilvl w:val="0"/>
          <w:numId w:val="2"/>
        </w:numPr>
        <w:spacing w:line="360" w:lineRule="auto"/>
        <w:rPr>
          <w:rFonts w:hint="default" w:ascii="Times New Roman" w:hAnsi="Times New Roman"/>
          <w:sz w:val="24"/>
          <w:szCs w:val="24"/>
        </w:rPr>
      </w:pPr>
      <w:r>
        <w:rPr>
          <w:rFonts w:hint="default" w:ascii="Times New Roman" w:hAnsi="Times New Roman"/>
          <w:sz w:val="24"/>
          <w:szCs w:val="24"/>
        </w:rPr>
        <w:t>投标截止时间：</w:t>
      </w:r>
      <w:r>
        <w:rPr>
          <w:rFonts w:hint="default" w:hAnsi="宋体" w:cs="宋体"/>
          <w:u w:val="single"/>
        </w:rPr>
        <w:t xml:space="preserve"> </w:t>
      </w:r>
      <w:r>
        <w:rPr>
          <w:rFonts w:hint="default" w:ascii="Times New Roman" w:hAnsi="Times New Roman" w:cs="Times New Roman"/>
          <w:u w:val="single"/>
        </w:rPr>
        <w:t xml:space="preserve"> </w:t>
      </w:r>
      <w:r>
        <w:rPr>
          <w:rFonts w:hint="default" w:ascii="Times New Roman" w:hAnsi="Times New Roman" w:cs="Times New Roman"/>
          <w:u w:val="single"/>
          <w:lang w:val="en-US" w:eastAsia="zh-CN"/>
        </w:rPr>
        <w:t>2022</w:t>
      </w:r>
      <w:r>
        <w:rPr>
          <w:rFonts w:hint="default" w:ascii="Times New Roman" w:hAnsi="Times New Roman" w:cs="Times New Roman"/>
          <w:u w:val="single"/>
        </w:rPr>
        <w:t xml:space="preserve">   </w:t>
      </w:r>
      <w:r>
        <w:rPr>
          <w:rFonts w:hint="default" w:ascii="Times New Roman" w:hAnsi="Times New Roman" w:cs="Times New Roman"/>
          <w:sz w:val="24"/>
          <w:szCs w:val="24"/>
        </w:rPr>
        <w:t>年</w:t>
      </w:r>
      <w:r>
        <w:rPr>
          <w:rFonts w:hint="default" w:ascii="Times New Roman" w:hAnsi="Times New Roman" w:cs="Times New Roman"/>
          <w:u w:val="single"/>
        </w:rPr>
        <w:t xml:space="preserve">   </w:t>
      </w:r>
      <w:r>
        <w:rPr>
          <w:rFonts w:hint="default" w:ascii="Times New Roman" w:hAnsi="Times New Roman" w:cs="Times New Roman"/>
          <w:u w:val="single"/>
          <w:lang w:val="en-US" w:eastAsia="zh-CN"/>
        </w:rPr>
        <w:t>0</w:t>
      </w:r>
      <w:r>
        <w:rPr>
          <w:rFonts w:hint="eastAsia" w:ascii="Times New Roman" w:hAnsi="Times New Roman" w:cs="Times New Roman"/>
          <w:u w:val="single"/>
          <w:lang w:val="en-US" w:eastAsia="zh-CN"/>
        </w:rPr>
        <w:t>3</w:t>
      </w:r>
      <w:r>
        <w:rPr>
          <w:rFonts w:hint="default" w:ascii="Times New Roman" w:hAnsi="Times New Roman" w:cs="Times New Roman"/>
          <w:u w:val="single"/>
        </w:rPr>
        <w:t xml:space="preserve">   </w:t>
      </w:r>
      <w:r>
        <w:rPr>
          <w:rFonts w:hint="default" w:ascii="Times New Roman" w:hAnsi="Times New Roman" w:cs="Times New Roman"/>
          <w:sz w:val="24"/>
          <w:szCs w:val="24"/>
        </w:rPr>
        <w:t>月</w:t>
      </w:r>
      <w:r>
        <w:rPr>
          <w:rFonts w:hint="default" w:ascii="Times New Roman" w:hAnsi="Times New Roman" w:cs="Times New Roman"/>
          <w:u w:val="single"/>
        </w:rPr>
        <w:t xml:space="preserve">  </w:t>
      </w:r>
      <w:r>
        <w:rPr>
          <w:rFonts w:hint="default" w:ascii="Times New Roman" w:hAnsi="Times New Roman" w:cs="Times New Roman"/>
          <w:u w:val="single"/>
          <w:lang w:val="en-US" w:eastAsia="zh-CN"/>
        </w:rPr>
        <w:t>1</w:t>
      </w:r>
      <w:r>
        <w:rPr>
          <w:rFonts w:hint="eastAsia" w:ascii="Times New Roman" w:hAnsi="Times New Roman" w:cs="Times New Roman"/>
          <w:u w:val="single"/>
          <w:lang w:val="en-US" w:eastAsia="zh-CN"/>
        </w:rPr>
        <w:t>1</w:t>
      </w:r>
      <w:r>
        <w:rPr>
          <w:rFonts w:hint="default" w:ascii="Times New Roman" w:hAnsi="Times New Roman" w:cs="Times New Roman"/>
          <w:u w:val="single"/>
        </w:rPr>
        <w:t xml:space="preserve"> </w:t>
      </w:r>
      <w:r>
        <w:rPr>
          <w:rFonts w:hAnsi="宋体" w:cs="宋体"/>
          <w:u w:val="single"/>
        </w:rPr>
        <w:t xml:space="preserve"> </w:t>
      </w:r>
      <w:r>
        <w:rPr>
          <w:rFonts w:hint="default" w:ascii="Times New Roman" w:hAnsi="Times New Roman"/>
          <w:sz w:val="24"/>
          <w:szCs w:val="24"/>
        </w:rPr>
        <w:t>日，逾期不予受理。</w:t>
      </w:r>
    </w:p>
    <w:p>
      <w:pPr>
        <w:pStyle w:val="2"/>
        <w:widowControl/>
        <w:numPr>
          <w:ilvl w:val="0"/>
          <w:numId w:val="2"/>
        </w:numPr>
        <w:spacing w:line="360" w:lineRule="auto"/>
        <w:rPr>
          <w:rFonts w:hint="default" w:ascii="Times New Roman" w:hAnsi="Times New Roman"/>
          <w:sz w:val="24"/>
          <w:szCs w:val="24"/>
        </w:rPr>
      </w:pPr>
      <w:r>
        <w:rPr>
          <w:rFonts w:hint="default" w:ascii="Times New Roman" w:hAnsi="Times New Roman"/>
          <w:sz w:val="24"/>
          <w:szCs w:val="24"/>
        </w:rPr>
        <w:t>投递标书地点：广州市黄埔区揽月路3号G栋4楼413室</w:t>
      </w:r>
    </w:p>
    <w:p>
      <w:pPr>
        <w:pStyle w:val="2"/>
        <w:widowControl/>
        <w:numPr>
          <w:ilvl w:val="0"/>
          <w:numId w:val="2"/>
        </w:numPr>
        <w:spacing w:line="360" w:lineRule="auto"/>
        <w:rPr>
          <w:rFonts w:hint="default" w:ascii="Times New Roman" w:hAnsi="Times New Roman"/>
          <w:sz w:val="24"/>
          <w:szCs w:val="24"/>
        </w:rPr>
      </w:pPr>
      <w:r>
        <w:rPr>
          <w:rFonts w:hint="default" w:ascii="Times New Roman" w:hAnsi="Times New Roman"/>
          <w:sz w:val="24"/>
          <w:szCs w:val="24"/>
        </w:rPr>
        <w:t>开标时间和地点：时间：</w:t>
      </w:r>
      <w:r>
        <w:rPr>
          <w:rFonts w:hint="default" w:hAnsi="宋体" w:cs="宋体"/>
          <w:u w:val="single"/>
        </w:rPr>
        <w:t xml:space="preserve"> </w:t>
      </w:r>
      <w:r>
        <w:rPr>
          <w:rFonts w:hint="default" w:ascii="Times New Roman" w:hAnsi="Times New Roman" w:cs="Times New Roman"/>
          <w:u w:val="single"/>
        </w:rPr>
        <w:t xml:space="preserve"> </w:t>
      </w:r>
      <w:r>
        <w:rPr>
          <w:rFonts w:hint="default" w:ascii="Times New Roman" w:hAnsi="Times New Roman" w:cs="Times New Roman"/>
          <w:u w:val="single"/>
          <w:lang w:val="en-US" w:eastAsia="zh-CN"/>
        </w:rPr>
        <w:t>2022</w:t>
      </w:r>
      <w:r>
        <w:rPr>
          <w:rFonts w:hint="default" w:ascii="Times New Roman" w:hAnsi="Times New Roman" w:cs="Times New Roman"/>
          <w:u w:val="single"/>
        </w:rPr>
        <w:t xml:space="preserve">  </w:t>
      </w:r>
      <w:r>
        <w:rPr>
          <w:rFonts w:hint="default" w:ascii="Times New Roman" w:hAnsi="Times New Roman" w:cs="Times New Roman"/>
          <w:sz w:val="24"/>
          <w:szCs w:val="24"/>
        </w:rPr>
        <w:t xml:space="preserve"> 年</w:t>
      </w:r>
      <w:r>
        <w:rPr>
          <w:rFonts w:hint="default" w:ascii="Times New Roman" w:hAnsi="Times New Roman" w:cs="Times New Roman"/>
          <w:u w:val="single"/>
        </w:rPr>
        <w:t xml:space="preserve">  </w:t>
      </w:r>
      <w:r>
        <w:rPr>
          <w:rFonts w:hint="default" w:ascii="Times New Roman" w:hAnsi="Times New Roman" w:cs="Times New Roman"/>
          <w:u w:val="single"/>
          <w:lang w:val="en-US" w:eastAsia="zh-CN"/>
        </w:rPr>
        <w:t>0</w:t>
      </w:r>
      <w:r>
        <w:rPr>
          <w:rFonts w:hint="eastAsia" w:ascii="Times New Roman" w:hAnsi="Times New Roman" w:cs="Times New Roman"/>
          <w:u w:val="single"/>
          <w:lang w:val="en-US" w:eastAsia="zh-CN"/>
        </w:rPr>
        <w:t>3</w:t>
      </w:r>
      <w:r>
        <w:rPr>
          <w:rFonts w:hint="default" w:ascii="Times New Roman" w:hAnsi="Times New Roman" w:cs="Times New Roman"/>
          <w:u w:val="single"/>
        </w:rPr>
        <w:t xml:space="preserve">  </w:t>
      </w:r>
      <w:r>
        <w:rPr>
          <w:rFonts w:hint="default" w:ascii="Times New Roman" w:hAnsi="Times New Roman" w:cs="Times New Roman"/>
          <w:sz w:val="24"/>
          <w:szCs w:val="24"/>
        </w:rPr>
        <w:t>月</w:t>
      </w:r>
      <w:r>
        <w:rPr>
          <w:rFonts w:hint="eastAsia" w:ascii="Times New Roman" w:hAnsi="Times New Roman" w:cs="Times New Roman"/>
          <w:sz w:val="24"/>
          <w:szCs w:val="24"/>
          <w:lang w:val="en-US" w:eastAsia="zh-CN"/>
        </w:rPr>
        <w:t xml:space="preserve"> </w:t>
      </w:r>
      <w:r>
        <w:rPr>
          <w:rFonts w:hint="default" w:ascii="Times New Roman" w:hAnsi="Times New Roman" w:cs="Times New Roman"/>
          <w:u w:val="single"/>
        </w:rPr>
        <w:t xml:space="preserve"> </w:t>
      </w:r>
      <w:r>
        <w:rPr>
          <w:rFonts w:hint="default" w:ascii="Times New Roman" w:hAnsi="Times New Roman" w:cs="Times New Roman"/>
          <w:u w:val="single"/>
          <w:lang w:val="en-US" w:eastAsia="zh-CN"/>
        </w:rPr>
        <w:t>1</w:t>
      </w:r>
      <w:r>
        <w:rPr>
          <w:rFonts w:hint="eastAsia" w:ascii="Times New Roman" w:hAnsi="Times New Roman" w:cs="Times New Roman"/>
          <w:u w:val="single"/>
          <w:lang w:val="en-US" w:eastAsia="zh-CN"/>
        </w:rPr>
        <w:t>8</w:t>
      </w:r>
      <w:r>
        <w:rPr>
          <w:rFonts w:hint="default" w:ascii="Times New Roman" w:hAnsi="Times New Roman" w:cs="Times New Roman"/>
          <w:u w:val="single"/>
        </w:rPr>
        <w:t xml:space="preserve"> </w:t>
      </w:r>
      <w:r>
        <w:rPr>
          <w:rFonts w:hAnsi="宋体" w:cs="宋体"/>
          <w:u w:val="single"/>
        </w:rPr>
        <w:t xml:space="preserve"> </w:t>
      </w:r>
      <w:r>
        <w:rPr>
          <w:rFonts w:hint="default" w:ascii="Times New Roman" w:hAnsi="Times New Roman"/>
          <w:sz w:val="24"/>
          <w:szCs w:val="24"/>
        </w:rPr>
        <w:t>日；</w:t>
      </w:r>
    </w:p>
    <w:p>
      <w:pPr>
        <w:pStyle w:val="2"/>
        <w:widowControl/>
        <w:numPr>
          <w:ilvl w:val="0"/>
          <w:numId w:val="2"/>
        </w:numPr>
        <w:spacing w:line="360" w:lineRule="auto"/>
        <w:rPr>
          <w:rFonts w:hint="default" w:ascii="Times New Roman" w:hAnsi="Times New Roman"/>
          <w:sz w:val="24"/>
          <w:szCs w:val="24"/>
        </w:rPr>
      </w:pPr>
      <w:r>
        <w:rPr>
          <w:rFonts w:hint="default" w:ascii="Times New Roman" w:hAnsi="Times New Roman"/>
          <w:sz w:val="24"/>
          <w:szCs w:val="24"/>
        </w:rPr>
        <w:t>地点：广州市黄埔区揽月路3号G栋4楼413室。</w:t>
      </w:r>
    </w:p>
    <w:p>
      <w:pPr>
        <w:pStyle w:val="2"/>
        <w:widowControl/>
        <w:numPr>
          <w:ilvl w:val="0"/>
          <w:numId w:val="2"/>
        </w:numPr>
        <w:spacing w:line="360" w:lineRule="auto"/>
        <w:rPr>
          <w:rFonts w:hint="default" w:ascii="Times New Roman" w:hAnsi="Times New Roman"/>
          <w:sz w:val="24"/>
          <w:szCs w:val="24"/>
        </w:rPr>
      </w:pPr>
      <w:r>
        <w:rPr>
          <w:rFonts w:hint="default" w:ascii="Times New Roman" w:hAnsi="Times New Roman"/>
          <w:sz w:val="24"/>
          <w:szCs w:val="24"/>
        </w:rPr>
        <w:t>通讯地址：</w:t>
      </w:r>
      <w:r>
        <w:rPr>
          <w:rFonts w:hint="default" w:ascii="Times New Roman" w:hAnsi="Times New Roman"/>
          <w:sz w:val="24"/>
          <w:szCs w:val="24"/>
          <w:u w:val="single"/>
        </w:rPr>
        <w:t xml:space="preserve"> </w:t>
      </w:r>
      <w:r>
        <w:rPr>
          <w:rFonts w:ascii="Times New Roman" w:hAnsi="Times New Roman"/>
          <w:sz w:val="24"/>
          <w:szCs w:val="24"/>
          <w:u w:val="single"/>
        </w:rPr>
        <w:t xml:space="preserve"> </w:t>
      </w:r>
      <w:r>
        <w:rPr>
          <w:rFonts w:hint="default" w:ascii="Times New Roman" w:hAnsi="Times New Roman"/>
          <w:sz w:val="24"/>
          <w:szCs w:val="24"/>
          <w:u w:val="single"/>
        </w:rPr>
        <w:t>广州市黄埔区揽月路3号G栋4楼413室</w:t>
      </w:r>
      <w:r>
        <w:rPr>
          <w:rFonts w:ascii="Times New Roman" w:hAnsi="Times New Roman"/>
          <w:sz w:val="24"/>
          <w:szCs w:val="24"/>
          <w:u w:val="single"/>
        </w:rPr>
        <w:t xml:space="preserve">   </w:t>
      </w:r>
      <w:r>
        <w:rPr>
          <w:rFonts w:hint="default" w:ascii="Times New Roman" w:hAnsi="Times New Roman"/>
          <w:sz w:val="24"/>
          <w:szCs w:val="24"/>
        </w:rPr>
        <w:t>；</w:t>
      </w:r>
    </w:p>
    <w:p>
      <w:pPr>
        <w:pStyle w:val="2"/>
        <w:widowControl/>
        <w:spacing w:line="360" w:lineRule="auto"/>
        <w:ind w:firstLine="480" w:firstLineChars="200"/>
        <w:rPr>
          <w:rFonts w:hint="default" w:ascii="Times New Roman" w:hAnsi="Times New Roman"/>
          <w:sz w:val="24"/>
          <w:szCs w:val="24"/>
        </w:rPr>
      </w:pPr>
      <w:r>
        <w:rPr>
          <w:rFonts w:hint="default" w:ascii="Times New Roman" w:hAnsi="Times New Roman"/>
          <w:sz w:val="24"/>
          <w:szCs w:val="24"/>
        </w:rPr>
        <w:t>电话：</w:t>
      </w:r>
      <w:r>
        <w:rPr>
          <w:rFonts w:ascii="Times New Roman" w:hAnsi="Times New Roman"/>
          <w:sz w:val="24"/>
          <w:szCs w:val="24"/>
          <w:u w:val="single"/>
        </w:rPr>
        <w:t xml:space="preserve">   </w:t>
      </w:r>
      <w:r>
        <w:rPr>
          <w:rFonts w:hint="default" w:ascii="Times New Roman" w:hAnsi="Times New Roman"/>
          <w:sz w:val="24"/>
          <w:szCs w:val="24"/>
          <w:u w:val="single"/>
        </w:rPr>
        <w:t>020-82037742</w:t>
      </w:r>
      <w:r>
        <w:rPr>
          <w:rFonts w:ascii="Times New Roman" w:hAnsi="Times New Roman"/>
          <w:sz w:val="24"/>
          <w:szCs w:val="24"/>
          <w:u w:val="single"/>
        </w:rPr>
        <w:t xml:space="preserve">，  18902298636  </w:t>
      </w:r>
      <w:r>
        <w:rPr>
          <w:rFonts w:hint="default" w:ascii="Times New Roman" w:hAnsi="Times New Roman"/>
          <w:sz w:val="24"/>
          <w:szCs w:val="24"/>
        </w:rPr>
        <w:t>；</w:t>
      </w:r>
    </w:p>
    <w:p>
      <w:pPr>
        <w:pStyle w:val="2"/>
        <w:widowControl/>
        <w:numPr>
          <w:ilvl w:val="0"/>
          <w:numId w:val="3"/>
        </w:numPr>
        <w:spacing w:line="360" w:lineRule="auto"/>
        <w:ind w:firstLine="555"/>
        <w:rPr>
          <w:rFonts w:hint="default" w:ascii="Times New Roman" w:hAnsi="Times New Roman"/>
          <w:sz w:val="24"/>
          <w:szCs w:val="24"/>
          <w:u w:val="single"/>
        </w:rPr>
      </w:pPr>
      <w:r>
        <w:rPr>
          <w:rFonts w:hint="default" w:ascii="Times New Roman" w:hAnsi="Times New Roman"/>
          <w:sz w:val="24"/>
          <w:szCs w:val="24"/>
        </w:rPr>
        <w:t>mail：</w:t>
      </w:r>
      <w:r>
        <w:rPr>
          <w:rFonts w:ascii="Times New Roman" w:hAnsi="Times New Roman"/>
          <w:sz w:val="24"/>
          <w:szCs w:val="24"/>
          <w:u w:val="single"/>
        </w:rPr>
        <w:t xml:space="preserve">  </w:t>
      </w:r>
      <w:r>
        <w:rPr>
          <w:rFonts w:hint="default" w:ascii="Times New Roman" w:hAnsi="Times New Roman"/>
          <w:sz w:val="24"/>
          <w:szCs w:val="24"/>
          <w:u w:val="single"/>
        </w:rPr>
        <w:t>chenyupin@cellprotek.com</w:t>
      </w:r>
      <w:r>
        <w:rPr>
          <w:rFonts w:ascii="Times New Roman" w:hAnsi="Times New Roman"/>
          <w:u w:val="single"/>
        </w:rPr>
        <w:t xml:space="preserve">     </w:t>
      </w:r>
    </w:p>
    <w:p>
      <w:pPr>
        <w:pStyle w:val="2"/>
        <w:widowControl/>
        <w:spacing w:line="360" w:lineRule="auto"/>
        <w:ind w:left="630"/>
        <w:rPr>
          <w:rFonts w:hint="default" w:ascii="Times New Roman" w:hAnsi="Times New Roman"/>
          <w:sz w:val="24"/>
          <w:szCs w:val="24"/>
        </w:rPr>
      </w:pPr>
      <w:r>
        <w:rPr>
          <w:rFonts w:hint="default" w:ascii="Times New Roman" w:hAnsi="Times New Roman"/>
          <w:sz w:val="24"/>
          <w:szCs w:val="24"/>
        </w:rPr>
        <w:t>联系人：</w:t>
      </w:r>
      <w:r>
        <w:rPr>
          <w:rFonts w:ascii="Times New Roman" w:hAnsi="Times New Roman"/>
          <w:sz w:val="24"/>
          <w:szCs w:val="24"/>
          <w:u w:val="single"/>
        </w:rPr>
        <w:t xml:space="preserve">   </w:t>
      </w:r>
      <w:r>
        <w:rPr>
          <w:rFonts w:hint="default" w:ascii="Times New Roman" w:hAnsi="Times New Roman"/>
          <w:sz w:val="24"/>
          <w:szCs w:val="24"/>
          <w:u w:val="single"/>
        </w:rPr>
        <w:t xml:space="preserve">陈玉嫔 </w:t>
      </w:r>
      <w:r>
        <w:rPr>
          <w:rFonts w:ascii="Times New Roman" w:hAnsi="Times New Roman"/>
          <w:sz w:val="24"/>
          <w:szCs w:val="24"/>
          <w:u w:val="single"/>
        </w:rPr>
        <w:t xml:space="preserve"> </w:t>
      </w:r>
      <w:r>
        <w:rPr>
          <w:rFonts w:hint="default" w:ascii="Times New Roman" w:hAnsi="Times New Roman"/>
          <w:sz w:val="24"/>
          <w:szCs w:val="24"/>
          <w:u w:val="single"/>
        </w:rPr>
        <w:t xml:space="preserve"> </w:t>
      </w:r>
      <w:r>
        <w:rPr>
          <w:rFonts w:hint="default" w:ascii="Times New Roman" w:hAnsi="Times New Roman"/>
          <w:sz w:val="24"/>
          <w:szCs w:val="24"/>
        </w:rPr>
        <w:t xml:space="preserve">  </w:t>
      </w:r>
    </w:p>
    <w:p>
      <w:pPr>
        <w:widowControl/>
        <w:numPr>
          <w:ilvl w:val="0"/>
          <w:numId w:val="1"/>
        </w:numPr>
        <w:spacing w:line="360" w:lineRule="auto"/>
        <w:ind w:firstLine="0"/>
        <w:jc w:val="left"/>
        <w:outlineLvl w:val="0"/>
        <w:rPr>
          <w:rFonts w:ascii="Times New Roman" w:hAnsi="Times New Roman" w:eastAsia="宋体" w:cs="Times New Roman"/>
          <w:b/>
          <w:bCs/>
          <w:sz w:val="24"/>
        </w:rPr>
      </w:pPr>
      <w:bookmarkStart w:id="2" w:name="_Toc26627"/>
      <w:r>
        <w:rPr>
          <w:rFonts w:ascii="Times New Roman" w:hAnsi="Times New Roman" w:eastAsia="宋体" w:cs="Times New Roman"/>
          <w:b/>
          <w:bCs/>
          <w:sz w:val="24"/>
        </w:rPr>
        <w:t>投标须知</w:t>
      </w:r>
      <w:bookmarkEnd w:id="2"/>
    </w:p>
    <w:p>
      <w:pPr>
        <w:pStyle w:val="8"/>
        <w:widowControl/>
        <w:numPr>
          <w:ilvl w:val="0"/>
          <w:numId w:val="4"/>
        </w:numPr>
        <w:spacing w:beforeAutospacing="0" w:afterAutospacing="0" w:line="360" w:lineRule="auto"/>
        <w:outlineLvl w:val="1"/>
        <w:rPr>
          <w:rFonts w:ascii="Times New Roman" w:hAnsi="Times New Roman" w:eastAsia="宋体"/>
        </w:rPr>
      </w:pPr>
      <w:bookmarkStart w:id="3" w:name="_Toc18418"/>
      <w:r>
        <w:rPr>
          <w:rFonts w:ascii="Times New Roman" w:hAnsi="Times New Roman" w:eastAsia="宋体"/>
          <w:lang w:bidi="ar"/>
        </w:rPr>
        <w:t>招标人的资质：</w:t>
      </w:r>
      <w:bookmarkEnd w:id="3"/>
    </w:p>
    <w:p>
      <w:pPr>
        <w:pStyle w:val="8"/>
        <w:widowControl/>
        <w:spacing w:beforeAutospacing="0" w:afterAutospacing="0" w:line="360" w:lineRule="auto"/>
        <w:ind w:firstLine="420"/>
        <w:rPr>
          <w:rFonts w:ascii="Times New Roman" w:hAnsi="Times New Roman" w:eastAsia="宋体"/>
          <w:lang w:bidi="ar"/>
        </w:rPr>
      </w:pPr>
      <w:r>
        <w:rPr>
          <w:rFonts w:ascii="Times New Roman" w:hAnsi="Times New Roman" w:eastAsia="宋体"/>
          <w:lang w:bidi="ar"/>
        </w:rPr>
        <w:t>凡被邀请参加投标者应具有法人资格，有生产或供应能力的国内外企业（实行生产许可证制度的须持有生产许可证），符合并承认和履行招标文件中的各项规定者。证明投标人资格的文件</w:t>
      </w:r>
      <w:r>
        <w:rPr>
          <w:rFonts w:hint="eastAsia" w:ascii="宋体" w:hAnsi="宋体" w:eastAsia="宋体" w:cs="宋体"/>
          <w:lang w:val="en-US" w:eastAsia="zh-CN" w:bidi="ar"/>
        </w:rPr>
        <w:t>:</w:t>
      </w:r>
      <w:r>
        <w:rPr>
          <w:rFonts w:ascii="Times New Roman" w:hAnsi="Times New Roman" w:eastAsia="宋体"/>
          <w:lang w:bidi="ar"/>
        </w:rPr>
        <w:br w:type="textWrapping"/>
      </w:r>
      <w:r>
        <w:rPr>
          <w:rFonts w:ascii="Times New Roman" w:hAnsi="Times New Roman" w:eastAsia="宋体"/>
          <w:lang w:bidi="ar"/>
        </w:rPr>
        <w:t xml:space="preserve">  （1） 投标人有效的"法人营业执照"（复印件）</w:t>
      </w:r>
      <w:r>
        <w:rPr>
          <w:rFonts w:ascii="Times New Roman" w:hAnsi="Times New Roman" w:eastAsia="宋体"/>
          <w:lang w:bidi="ar"/>
        </w:rPr>
        <w:br w:type="textWrapping"/>
      </w:r>
      <w:r>
        <w:rPr>
          <w:rFonts w:ascii="Times New Roman" w:hAnsi="Times New Roman" w:eastAsia="宋体"/>
          <w:lang w:bidi="ar"/>
        </w:rPr>
        <w:t xml:space="preserve">  （2） 法人代表授权书（原件）</w:t>
      </w:r>
      <w:r>
        <w:rPr>
          <w:rFonts w:ascii="Times New Roman" w:hAnsi="Times New Roman" w:eastAsia="宋体"/>
          <w:lang w:bidi="ar"/>
        </w:rPr>
        <w:br w:type="textWrapping"/>
      </w:r>
      <w:r>
        <w:rPr>
          <w:rFonts w:ascii="Times New Roman" w:hAnsi="Times New Roman" w:eastAsia="宋体"/>
          <w:lang w:bidi="ar"/>
        </w:rPr>
        <w:t xml:space="preserve">  （3） 法人授权代表身份证（复印件）</w:t>
      </w:r>
      <w:r>
        <w:rPr>
          <w:rFonts w:ascii="Times New Roman" w:hAnsi="Times New Roman" w:eastAsia="宋体"/>
          <w:lang w:bidi="ar"/>
        </w:rPr>
        <w:br w:type="textWrapping"/>
      </w:r>
      <w:r>
        <w:rPr>
          <w:rFonts w:ascii="Times New Roman" w:hAnsi="Times New Roman" w:eastAsia="宋体"/>
          <w:lang w:bidi="ar"/>
        </w:rPr>
        <w:t xml:space="preserve">  （4） 产品鉴定证书（根据需求提供复印件）</w:t>
      </w:r>
      <w:r>
        <w:rPr>
          <w:rFonts w:ascii="Times New Roman" w:hAnsi="Times New Roman" w:eastAsia="宋体"/>
          <w:lang w:bidi="ar"/>
        </w:rPr>
        <w:br w:type="textWrapping"/>
      </w:r>
      <w:r>
        <w:rPr>
          <w:rFonts w:ascii="Times New Roman" w:hAnsi="Times New Roman" w:eastAsia="宋体"/>
          <w:lang w:bidi="ar"/>
        </w:rPr>
        <w:t xml:space="preserve">  （5） 生产许可证（根据需求提供复印件）</w:t>
      </w:r>
      <w:r>
        <w:rPr>
          <w:rFonts w:ascii="Times New Roman" w:hAnsi="Times New Roman" w:eastAsia="宋体"/>
          <w:lang w:bidi="ar"/>
        </w:rPr>
        <w:br w:type="textWrapping"/>
      </w:r>
      <w:r>
        <w:rPr>
          <w:rFonts w:ascii="Times New Roman" w:hAnsi="Times New Roman" w:eastAsia="宋体"/>
          <w:lang w:bidi="ar"/>
        </w:rPr>
        <w:t xml:space="preserve">  （6） 荣获国际、国优、部优荣誉证书（根据需求提供复印件）</w:t>
      </w:r>
      <w:r>
        <w:rPr>
          <w:rFonts w:ascii="Times New Roman" w:hAnsi="Times New Roman" w:eastAsia="宋体"/>
          <w:lang w:bidi="ar"/>
        </w:rPr>
        <w:br w:type="textWrapping"/>
      </w:r>
      <w:r>
        <w:rPr>
          <w:rFonts w:ascii="Times New Roman" w:hAnsi="Times New Roman" w:eastAsia="宋体"/>
          <w:lang w:bidi="ar"/>
        </w:rPr>
        <w:t xml:space="preserve">  （7） 投标人认为有必要提供的声明及文件  </w:t>
      </w:r>
    </w:p>
    <w:p>
      <w:pPr>
        <w:pStyle w:val="8"/>
        <w:widowControl/>
        <w:numPr>
          <w:ilvl w:val="0"/>
          <w:numId w:val="4"/>
        </w:numPr>
        <w:spacing w:beforeAutospacing="0" w:afterAutospacing="0" w:line="360" w:lineRule="auto"/>
        <w:outlineLvl w:val="1"/>
        <w:rPr>
          <w:rFonts w:ascii="Times New Roman" w:hAnsi="Times New Roman" w:eastAsia="宋体"/>
        </w:rPr>
      </w:pPr>
      <w:bookmarkStart w:id="4" w:name="_Toc29422"/>
      <w:r>
        <w:rPr>
          <w:rFonts w:ascii="Times New Roman" w:hAnsi="Times New Roman" w:eastAsia="宋体"/>
          <w:lang w:bidi="ar"/>
        </w:rPr>
        <w:t>投标费用</w:t>
      </w:r>
      <w:bookmarkEnd w:id="4"/>
    </w:p>
    <w:p>
      <w:pPr>
        <w:pStyle w:val="8"/>
        <w:widowControl/>
        <w:spacing w:beforeAutospacing="0" w:afterAutospacing="0" w:line="360" w:lineRule="auto"/>
        <w:ind w:firstLine="420"/>
        <w:rPr>
          <w:rFonts w:ascii="Times New Roman" w:hAnsi="Times New Roman" w:eastAsia="宋体"/>
        </w:rPr>
      </w:pPr>
      <w:r>
        <w:rPr>
          <w:rFonts w:ascii="Times New Roman" w:hAnsi="Times New Roman" w:eastAsia="宋体"/>
          <w:lang w:bidi="ar"/>
        </w:rPr>
        <w:t>投标人应自行承担所有与编写和提交投标文件有关的费用，不论投标的结果如何，招标人在任何情况下均无义务和责任承担这些费用。</w:t>
      </w:r>
    </w:p>
    <w:p>
      <w:pPr>
        <w:pStyle w:val="8"/>
        <w:widowControl/>
        <w:numPr>
          <w:ilvl w:val="0"/>
          <w:numId w:val="4"/>
        </w:numPr>
        <w:spacing w:beforeAutospacing="0" w:afterAutospacing="0" w:line="360" w:lineRule="auto"/>
        <w:outlineLvl w:val="1"/>
        <w:rPr>
          <w:rFonts w:ascii="Times New Roman" w:hAnsi="Times New Roman" w:eastAsia="宋体"/>
        </w:rPr>
      </w:pPr>
      <w:bookmarkStart w:id="5" w:name="_Toc3344"/>
      <w:r>
        <w:rPr>
          <w:rFonts w:ascii="Times New Roman" w:hAnsi="Times New Roman" w:eastAsia="宋体"/>
          <w:lang w:bidi="ar"/>
        </w:rPr>
        <w:t>招标文件的澄清</w:t>
      </w:r>
      <w:bookmarkEnd w:id="5"/>
    </w:p>
    <w:p>
      <w:pPr>
        <w:pStyle w:val="8"/>
        <w:widowControl/>
        <w:spacing w:beforeAutospacing="0" w:afterAutospacing="0" w:line="360" w:lineRule="auto"/>
        <w:ind w:firstLine="420"/>
        <w:rPr>
          <w:rFonts w:ascii="Times New Roman" w:hAnsi="Times New Roman" w:eastAsia="宋体"/>
        </w:rPr>
      </w:pPr>
      <w:r>
        <w:rPr>
          <w:rFonts w:ascii="Times New Roman" w:hAnsi="Times New Roman" w:eastAsia="宋体"/>
          <w:lang w:bidi="ar"/>
        </w:rPr>
        <w:t>任何要求澄清招标文件的投标人，均应在投标截止日前5天以书面形式或传真通知招标人。招标人将以书面形式予以答复。</w:t>
      </w:r>
    </w:p>
    <w:p>
      <w:pPr>
        <w:pStyle w:val="8"/>
        <w:widowControl/>
        <w:numPr>
          <w:ilvl w:val="0"/>
          <w:numId w:val="4"/>
        </w:numPr>
        <w:spacing w:beforeAutospacing="0" w:afterAutospacing="0" w:line="360" w:lineRule="auto"/>
        <w:outlineLvl w:val="1"/>
        <w:rPr>
          <w:rFonts w:ascii="Times New Roman" w:hAnsi="Times New Roman" w:eastAsia="宋体"/>
        </w:rPr>
      </w:pPr>
      <w:bookmarkStart w:id="6" w:name="_Toc15124"/>
      <w:r>
        <w:rPr>
          <w:rFonts w:ascii="Times New Roman" w:hAnsi="Times New Roman" w:eastAsia="宋体"/>
          <w:lang w:bidi="ar"/>
        </w:rPr>
        <w:t>投标文件的编写</w:t>
      </w:r>
      <w:bookmarkEnd w:id="6"/>
    </w:p>
    <w:p>
      <w:pPr>
        <w:pStyle w:val="8"/>
        <w:widowControl/>
        <w:spacing w:beforeAutospacing="0" w:afterAutospacing="0" w:line="360" w:lineRule="auto"/>
        <w:ind w:firstLine="420"/>
        <w:rPr>
          <w:rFonts w:ascii="Times New Roman" w:hAnsi="Times New Roman" w:eastAsia="宋体"/>
        </w:rPr>
      </w:pPr>
      <w:r>
        <w:rPr>
          <w:rFonts w:ascii="Times New Roman" w:hAnsi="Times New Roman" w:eastAsia="宋体"/>
          <w:lang w:bidi="ar"/>
        </w:rPr>
        <w:t>投标人应仔细阅读招标文件，了解招标文件的要求。在完全了解招标货物的技术规范和要求以及商务条件后，编制投标文件。</w:t>
      </w:r>
    </w:p>
    <w:p>
      <w:pPr>
        <w:pStyle w:val="8"/>
        <w:widowControl/>
        <w:numPr>
          <w:ilvl w:val="0"/>
          <w:numId w:val="5"/>
        </w:numPr>
        <w:spacing w:beforeAutospacing="0" w:afterAutospacing="0" w:line="360" w:lineRule="auto"/>
        <w:rPr>
          <w:rFonts w:ascii="Times New Roman" w:hAnsi="Times New Roman" w:eastAsia="宋体"/>
        </w:rPr>
      </w:pPr>
      <w:r>
        <w:rPr>
          <w:rFonts w:ascii="Times New Roman" w:hAnsi="Times New Roman" w:eastAsia="宋体"/>
          <w:lang w:bidi="ar"/>
        </w:rPr>
        <w:t>投标书格式：投标人应按照招标文件要求及所附投标报价说明完整的填写《投标书》和投标报价表，表明所提供的货物、货物简介（含技术参数，招标文件的技术参数真实有效）、数量及价格。</w:t>
      </w:r>
    </w:p>
    <w:p>
      <w:pPr>
        <w:pStyle w:val="8"/>
        <w:widowControl/>
        <w:numPr>
          <w:ilvl w:val="0"/>
          <w:numId w:val="5"/>
        </w:numPr>
        <w:spacing w:beforeAutospacing="0" w:afterAutospacing="0" w:line="360" w:lineRule="auto"/>
        <w:rPr>
          <w:rFonts w:ascii="Times New Roman" w:hAnsi="Times New Roman" w:eastAsia="宋体"/>
        </w:rPr>
      </w:pPr>
      <w:r>
        <w:rPr>
          <w:rFonts w:ascii="Times New Roman" w:hAnsi="Times New Roman" w:eastAsia="宋体"/>
          <w:lang w:bidi="ar"/>
        </w:rPr>
        <w:t>投标报价：投标人对投标货物及服务报价，应报出最具有竞争力的价格，并在投标货物数量及分项价格表内分别填写货物名称、规格型号、数量、设备出厂单价、总价。运保费须单独报出。 最低投标报价不能作为中标的唯一保证。</w:t>
      </w:r>
    </w:p>
    <w:p>
      <w:pPr>
        <w:pStyle w:val="8"/>
        <w:widowControl/>
        <w:numPr>
          <w:ilvl w:val="0"/>
          <w:numId w:val="4"/>
        </w:numPr>
        <w:spacing w:beforeAutospacing="0" w:afterAutospacing="0" w:line="360" w:lineRule="auto"/>
        <w:outlineLvl w:val="1"/>
        <w:rPr>
          <w:rFonts w:ascii="Times New Roman" w:hAnsi="Times New Roman" w:eastAsia="宋体"/>
        </w:rPr>
      </w:pPr>
      <w:bookmarkStart w:id="7" w:name="_Toc4797"/>
      <w:r>
        <w:rPr>
          <w:rFonts w:ascii="Times New Roman" w:hAnsi="Times New Roman" w:eastAsia="宋体"/>
          <w:lang w:bidi="ar"/>
        </w:rPr>
        <w:t>投标货物符合招标文件规定的技术响应文件</w:t>
      </w:r>
      <w:bookmarkEnd w:id="7"/>
    </w:p>
    <w:p>
      <w:pPr>
        <w:pStyle w:val="8"/>
        <w:widowControl/>
        <w:spacing w:beforeAutospacing="0" w:afterAutospacing="0" w:line="360" w:lineRule="auto"/>
        <w:ind w:firstLine="420"/>
        <w:rPr>
          <w:rFonts w:ascii="Times New Roman" w:hAnsi="Times New Roman" w:eastAsia="宋体"/>
          <w:lang w:bidi="ar"/>
        </w:rPr>
      </w:pPr>
      <w:r>
        <w:rPr>
          <w:rFonts w:ascii="Times New Roman" w:hAnsi="Times New Roman" w:eastAsia="宋体"/>
          <w:lang w:bidi="ar"/>
        </w:rPr>
        <w:t>投标人必须提交其所投标货物和服务符合招标文件的技术响应文件。该文件可以是文字资料、图纸和数据（含电子版本），并须提供在技术规格中规定的保证货物正常和连续运转期间所需要的所有备件和专用工具的详细清单，包括其价格和供货来源资料。如有需要，应在规格偏离表（附件）上逐项说明投标货物和服务的不同点以及完全不同之处。</w:t>
      </w:r>
    </w:p>
    <w:p>
      <w:pPr>
        <w:numPr>
          <w:ilvl w:val="0"/>
          <w:numId w:val="4"/>
        </w:numPr>
        <w:spacing w:line="360" w:lineRule="auto"/>
        <w:outlineLvl w:val="1"/>
        <w:rPr>
          <w:rFonts w:ascii="Times New Roman" w:hAnsi="Times New Roman" w:eastAsia="宋体" w:cs="Times New Roman"/>
          <w:sz w:val="24"/>
        </w:rPr>
      </w:pPr>
      <w:bookmarkStart w:id="8" w:name="_Toc8659"/>
      <w:r>
        <w:rPr>
          <w:rFonts w:ascii="Times New Roman" w:hAnsi="Times New Roman" w:eastAsia="宋体" w:cs="Times New Roman"/>
          <w:kern w:val="0"/>
          <w:sz w:val="24"/>
          <w:lang w:bidi="ar"/>
        </w:rPr>
        <w:t>投标文件的有效期</w:t>
      </w:r>
      <w:r>
        <w:rPr>
          <w:rFonts w:ascii="Times New Roman" w:hAnsi="Times New Roman" w:eastAsia="宋体" w:cs="Times New Roman"/>
          <w:kern w:val="0"/>
          <w:sz w:val="24"/>
          <w:lang w:bidi="ar"/>
        </w:rPr>
        <w:br w:type="textWrapping"/>
      </w:r>
      <w:r>
        <w:rPr>
          <w:rFonts w:ascii="Times New Roman" w:hAnsi="Times New Roman" w:eastAsia="宋体" w:cs="Times New Roman"/>
          <w:kern w:val="0"/>
          <w:sz w:val="24"/>
          <w:lang w:bidi="ar"/>
        </w:rPr>
        <w:t>投标文件自开标之日起30天内有效。</w:t>
      </w:r>
      <w:bookmarkEnd w:id="8"/>
    </w:p>
    <w:p>
      <w:pPr>
        <w:pStyle w:val="8"/>
        <w:widowControl/>
        <w:numPr>
          <w:ilvl w:val="0"/>
          <w:numId w:val="4"/>
        </w:numPr>
        <w:spacing w:beforeAutospacing="0" w:afterAutospacing="0" w:line="360" w:lineRule="auto"/>
        <w:outlineLvl w:val="1"/>
        <w:rPr>
          <w:rFonts w:ascii="Times New Roman" w:hAnsi="Times New Roman" w:eastAsia="宋体"/>
          <w:lang w:bidi="ar"/>
        </w:rPr>
      </w:pPr>
      <w:bookmarkStart w:id="9" w:name="_Toc16592"/>
      <w:r>
        <w:rPr>
          <w:rFonts w:ascii="Times New Roman" w:hAnsi="Times New Roman" w:eastAsia="宋体"/>
          <w:lang w:bidi="ar"/>
        </w:rPr>
        <w:t>投标文件的书写要求</w:t>
      </w:r>
      <w:bookmarkEnd w:id="9"/>
    </w:p>
    <w:p>
      <w:pPr>
        <w:pStyle w:val="8"/>
        <w:widowControl/>
        <w:spacing w:beforeAutospacing="0" w:afterAutospacing="0" w:line="360" w:lineRule="auto"/>
        <w:ind w:firstLine="420"/>
        <w:rPr>
          <w:rFonts w:ascii="Times New Roman" w:hAnsi="Times New Roman" w:eastAsia="宋体"/>
          <w:lang w:bidi="ar"/>
        </w:rPr>
      </w:pPr>
      <w:r>
        <w:rPr>
          <w:rFonts w:ascii="Times New Roman" w:hAnsi="Times New Roman" w:eastAsia="宋体"/>
          <w:lang w:bidi="ar"/>
        </w:rPr>
        <w:t>投标文件正本和所有副本须用不褪色的墨水书写或打印，装订成册。投标文件1份，应有法人授权代表在规定签章处逐一签署及加盖投标人的公章。并与投标截止日期送达指定地点。</w:t>
      </w:r>
    </w:p>
    <w:p>
      <w:pPr>
        <w:pStyle w:val="8"/>
        <w:widowControl/>
        <w:numPr>
          <w:ilvl w:val="0"/>
          <w:numId w:val="4"/>
        </w:numPr>
        <w:spacing w:beforeAutospacing="0" w:afterAutospacing="0" w:line="360" w:lineRule="auto"/>
        <w:outlineLvl w:val="1"/>
        <w:rPr>
          <w:rFonts w:ascii="Times New Roman" w:hAnsi="Times New Roman" w:eastAsia="宋体"/>
          <w:lang w:bidi="ar"/>
        </w:rPr>
      </w:pPr>
      <w:bookmarkStart w:id="10" w:name="_Toc5071"/>
      <w:r>
        <w:rPr>
          <w:rFonts w:ascii="Times New Roman" w:hAnsi="Times New Roman" w:eastAsia="宋体"/>
          <w:lang w:bidi="ar"/>
        </w:rPr>
        <w:t>招标文件的密封与标记</w:t>
      </w:r>
      <w:bookmarkEnd w:id="10"/>
    </w:p>
    <w:p>
      <w:pPr>
        <w:pStyle w:val="8"/>
        <w:widowControl/>
        <w:spacing w:beforeAutospacing="0" w:afterAutospacing="0" w:line="360" w:lineRule="auto"/>
        <w:ind w:firstLine="420"/>
        <w:rPr>
          <w:rFonts w:ascii="Times New Roman" w:hAnsi="Times New Roman" w:eastAsia="宋体"/>
          <w:lang w:bidi="ar"/>
        </w:rPr>
      </w:pPr>
      <w:r>
        <w:rPr>
          <w:rFonts w:ascii="Times New Roman" w:hAnsi="Times New Roman" w:eastAsia="宋体"/>
          <w:lang w:bidi="ar"/>
        </w:rPr>
        <w:t>投标人应将投标文件正本和副本分别装入信袋内加以密封，并在封签处加盖投标人公章（或合同专用章）。投标文件信袋封条上应写明：</w:t>
      </w:r>
    </w:p>
    <w:p>
      <w:pPr>
        <w:pStyle w:val="8"/>
        <w:widowControl/>
        <w:numPr>
          <w:ilvl w:val="0"/>
          <w:numId w:val="6"/>
        </w:numPr>
        <w:spacing w:beforeAutospacing="0" w:afterAutospacing="0" w:line="360" w:lineRule="auto"/>
        <w:rPr>
          <w:rFonts w:ascii="Times New Roman" w:hAnsi="Times New Roman" w:eastAsia="宋体"/>
        </w:rPr>
      </w:pPr>
      <w:r>
        <w:rPr>
          <w:rFonts w:ascii="Times New Roman" w:hAnsi="Times New Roman" w:eastAsia="宋体"/>
        </w:rPr>
        <w:t>招标人、招标文件所指明的投标送达地址；</w:t>
      </w:r>
    </w:p>
    <w:p>
      <w:pPr>
        <w:pStyle w:val="8"/>
        <w:widowControl/>
        <w:numPr>
          <w:ilvl w:val="0"/>
          <w:numId w:val="6"/>
        </w:numPr>
        <w:spacing w:beforeAutospacing="0" w:afterAutospacing="0" w:line="360" w:lineRule="auto"/>
        <w:rPr>
          <w:rFonts w:ascii="Times New Roman" w:hAnsi="Times New Roman" w:eastAsia="宋体"/>
        </w:rPr>
      </w:pPr>
      <w:r>
        <w:rPr>
          <w:rFonts w:ascii="Times New Roman" w:hAnsi="Times New Roman" w:eastAsia="宋体"/>
        </w:rPr>
        <w:t>招标项目名称；</w:t>
      </w:r>
    </w:p>
    <w:p>
      <w:pPr>
        <w:pStyle w:val="8"/>
        <w:widowControl/>
        <w:numPr>
          <w:ilvl w:val="0"/>
          <w:numId w:val="6"/>
        </w:numPr>
        <w:spacing w:beforeAutospacing="0" w:afterAutospacing="0" w:line="360" w:lineRule="auto"/>
        <w:rPr>
          <w:rFonts w:ascii="Times New Roman" w:hAnsi="Times New Roman" w:eastAsia="宋体"/>
        </w:rPr>
      </w:pPr>
      <w:r>
        <w:rPr>
          <w:rFonts w:ascii="Times New Roman" w:hAnsi="Times New Roman" w:eastAsia="宋体"/>
        </w:rPr>
        <w:t>标书编号；</w:t>
      </w:r>
    </w:p>
    <w:p>
      <w:pPr>
        <w:pStyle w:val="8"/>
        <w:widowControl/>
        <w:numPr>
          <w:ilvl w:val="0"/>
          <w:numId w:val="6"/>
        </w:numPr>
        <w:spacing w:beforeAutospacing="0" w:afterAutospacing="0" w:line="360" w:lineRule="auto"/>
        <w:rPr>
          <w:rFonts w:ascii="Times New Roman" w:hAnsi="Times New Roman" w:eastAsia="宋体"/>
        </w:rPr>
      </w:pPr>
      <w:r>
        <w:rPr>
          <w:rFonts w:ascii="Times New Roman" w:hAnsi="Times New Roman" w:eastAsia="宋体"/>
        </w:rPr>
        <w:t>投标企业名称和地址；</w:t>
      </w:r>
    </w:p>
    <w:p>
      <w:pPr>
        <w:pStyle w:val="8"/>
        <w:widowControl/>
        <w:numPr>
          <w:ilvl w:val="0"/>
          <w:numId w:val="7"/>
        </w:numPr>
        <w:spacing w:beforeAutospacing="0" w:afterAutospacing="0" w:line="360" w:lineRule="auto"/>
        <w:ind w:firstLine="0"/>
        <w:outlineLvl w:val="0"/>
        <w:rPr>
          <w:rFonts w:ascii="Times New Roman" w:hAnsi="Times New Roman" w:eastAsia="宋体"/>
          <w:b/>
          <w:bCs/>
          <w:color w:val="FF0000"/>
        </w:rPr>
      </w:pPr>
      <w:bookmarkStart w:id="11" w:name="_Toc3292"/>
      <w:r>
        <w:rPr>
          <w:rFonts w:hint="eastAsia" w:ascii="Times New Roman" w:hAnsi="Times New Roman" w:eastAsia="宋体"/>
          <w:b/>
          <w:bCs/>
          <w:kern w:val="2"/>
        </w:rPr>
        <w:t>开标及评标</w:t>
      </w:r>
      <w:bookmarkEnd w:id="11"/>
    </w:p>
    <w:p>
      <w:pPr>
        <w:pStyle w:val="8"/>
        <w:widowControl/>
        <w:numPr>
          <w:ilvl w:val="0"/>
          <w:numId w:val="8"/>
        </w:numPr>
        <w:spacing w:beforeAutospacing="0" w:afterAutospacing="0" w:line="360" w:lineRule="auto"/>
        <w:outlineLvl w:val="1"/>
        <w:rPr>
          <w:rFonts w:ascii="Times New Roman" w:hAnsi="Times New Roman" w:eastAsia="宋体"/>
        </w:rPr>
      </w:pPr>
      <w:bookmarkStart w:id="12" w:name="_Toc1481"/>
      <w:r>
        <w:rPr>
          <w:rFonts w:ascii="Times New Roman" w:hAnsi="Times New Roman" w:eastAsia="宋体"/>
          <w:lang w:bidi="ar"/>
        </w:rPr>
        <w:t>开标：</w:t>
      </w:r>
      <w:bookmarkEnd w:id="12"/>
    </w:p>
    <w:p>
      <w:pPr>
        <w:pStyle w:val="8"/>
        <w:widowControl/>
        <w:spacing w:beforeAutospacing="0" w:afterAutospacing="0" w:line="360" w:lineRule="auto"/>
        <w:ind w:firstLine="480" w:firstLineChars="200"/>
        <w:outlineLvl w:val="1"/>
        <w:rPr>
          <w:rFonts w:ascii="Times New Roman" w:hAnsi="Times New Roman" w:eastAsia="宋体"/>
        </w:rPr>
      </w:pPr>
      <w:bookmarkStart w:id="13" w:name="_Toc49"/>
      <w:r>
        <w:rPr>
          <w:rFonts w:ascii="Times New Roman" w:hAnsi="Times New Roman" w:eastAsia="宋体"/>
          <w:lang w:bidi="ar"/>
        </w:rPr>
        <w:t>招标人组织内部专家，根据招标文件规定的时间、地点主持开标。</w:t>
      </w:r>
      <w:bookmarkEnd w:id="13"/>
    </w:p>
    <w:p>
      <w:pPr>
        <w:pStyle w:val="8"/>
        <w:widowControl/>
        <w:numPr>
          <w:ilvl w:val="0"/>
          <w:numId w:val="8"/>
        </w:numPr>
        <w:spacing w:beforeAutospacing="0" w:afterAutospacing="0" w:line="360" w:lineRule="auto"/>
        <w:outlineLvl w:val="1"/>
        <w:rPr>
          <w:rFonts w:ascii="Times New Roman" w:hAnsi="Times New Roman" w:eastAsia="宋体"/>
        </w:rPr>
      </w:pPr>
      <w:bookmarkStart w:id="14" w:name="_Toc27933"/>
      <w:r>
        <w:rPr>
          <w:rFonts w:ascii="Times New Roman" w:hAnsi="Times New Roman" w:eastAsia="宋体"/>
          <w:lang w:bidi="ar"/>
        </w:rPr>
        <w:t>评标：</w:t>
      </w:r>
      <w:bookmarkEnd w:id="14"/>
    </w:p>
    <w:p>
      <w:pPr>
        <w:pStyle w:val="8"/>
        <w:widowControl/>
        <w:spacing w:beforeAutospacing="0" w:afterAutospacing="0" w:line="360" w:lineRule="auto"/>
        <w:ind w:firstLine="480" w:firstLineChars="200"/>
        <w:outlineLvl w:val="1"/>
        <w:rPr>
          <w:rFonts w:ascii="Times New Roman" w:hAnsi="Times New Roman" w:eastAsia="宋体"/>
          <w:lang w:bidi="ar"/>
        </w:rPr>
      </w:pPr>
      <w:bookmarkStart w:id="15" w:name="_Toc12000"/>
      <w:r>
        <w:rPr>
          <w:rFonts w:ascii="Times New Roman" w:hAnsi="Times New Roman" w:eastAsia="宋体"/>
          <w:lang w:bidi="ar"/>
        </w:rPr>
        <w:t>以综合指标性能和相对低价中标价为原则进行评标或议标，招标人作开标记录，并存档备查。评标的依据为招标文件和投标文件。</w:t>
      </w:r>
    </w:p>
    <w:p>
      <w:pPr>
        <w:pStyle w:val="8"/>
        <w:widowControl/>
        <w:numPr>
          <w:ilvl w:val="0"/>
          <w:numId w:val="9"/>
        </w:numPr>
        <w:spacing w:beforeAutospacing="0" w:afterAutospacing="0" w:line="360" w:lineRule="auto"/>
        <w:outlineLvl w:val="1"/>
        <w:rPr>
          <w:rFonts w:ascii="Times New Roman" w:hAnsi="Times New Roman"/>
        </w:rPr>
      </w:pPr>
      <w:r>
        <w:rPr>
          <w:rFonts w:ascii="Times New Roman" w:hAnsi="Times New Roman"/>
        </w:rPr>
        <w:t xml:space="preserve">与招标文件有重大偏离的投标文件将被拒绝，能够最大限度地满足招标文件中规定的各项综合评价标准； </w:t>
      </w:r>
    </w:p>
    <w:p>
      <w:pPr>
        <w:pStyle w:val="8"/>
        <w:widowControl/>
        <w:numPr>
          <w:ilvl w:val="0"/>
          <w:numId w:val="9"/>
        </w:numPr>
        <w:spacing w:beforeAutospacing="0" w:afterAutospacing="0" w:line="360" w:lineRule="auto"/>
        <w:outlineLvl w:val="1"/>
        <w:rPr>
          <w:rFonts w:ascii="Times New Roman" w:hAnsi="Times New Roman"/>
        </w:rPr>
      </w:pPr>
      <w:r>
        <w:rPr>
          <w:rFonts w:ascii="Times New Roman" w:hAnsi="Times New Roman"/>
        </w:rPr>
        <w:t>能够满足招标的实质性要求，并且经评审的投标价格最低，但是投标价格低于成本的除外。</w:t>
      </w:r>
    </w:p>
    <w:p>
      <w:pPr>
        <w:pStyle w:val="8"/>
        <w:widowControl/>
        <w:numPr>
          <w:ilvl w:val="0"/>
          <w:numId w:val="9"/>
        </w:numPr>
        <w:spacing w:beforeAutospacing="0" w:afterAutospacing="0" w:line="360" w:lineRule="auto"/>
        <w:outlineLvl w:val="1"/>
        <w:rPr>
          <w:rFonts w:ascii="Times New Roman" w:hAnsi="Times New Roman"/>
        </w:rPr>
      </w:pPr>
      <w:r>
        <w:rPr>
          <w:rFonts w:ascii="Times New Roman" w:hAnsi="Times New Roman"/>
        </w:rPr>
        <w:t>评标时除考虑投标报价以外，还将考虑以下因素：投标货物的技术水平、性能；投标货物的质量合适应性；对招标文件中付款方式的响应；交货期和供货能力；配套设备的齐全性（如有需要）；备品备件和售后服务承诺；投标人的综合实力、业绩核信誉等。</w:t>
      </w:r>
      <w:bookmarkEnd w:id="15"/>
    </w:p>
    <w:p>
      <w:pPr>
        <w:numPr>
          <w:ilvl w:val="0"/>
          <w:numId w:val="8"/>
        </w:numPr>
        <w:spacing w:line="360" w:lineRule="auto"/>
        <w:outlineLvl w:val="1"/>
        <w:rPr>
          <w:rFonts w:ascii="Times New Roman" w:hAnsi="Times New Roman" w:eastAsia="宋体" w:cs="Times New Roman"/>
          <w:sz w:val="24"/>
        </w:rPr>
      </w:pPr>
      <w:bookmarkStart w:id="16" w:name="_Toc14638"/>
      <w:r>
        <w:rPr>
          <w:rFonts w:ascii="Times New Roman" w:hAnsi="Times New Roman" w:eastAsia="宋体" w:cs="Times New Roman"/>
          <w:sz w:val="24"/>
        </w:rPr>
        <w:t>中标通知</w:t>
      </w:r>
      <w:bookmarkEnd w:id="16"/>
    </w:p>
    <w:p>
      <w:pPr>
        <w:pStyle w:val="8"/>
        <w:widowControl/>
        <w:spacing w:beforeAutospacing="0" w:afterAutospacing="0" w:line="360" w:lineRule="auto"/>
        <w:ind w:firstLine="420"/>
        <w:outlineLvl w:val="1"/>
        <w:rPr>
          <w:rFonts w:ascii="Times New Roman" w:hAnsi="Times New Roman" w:eastAsia="宋体"/>
          <w:b/>
          <w:bCs/>
        </w:rPr>
      </w:pPr>
      <w:bookmarkStart w:id="17" w:name="_Toc12274"/>
      <w:r>
        <w:rPr>
          <w:rFonts w:ascii="Times New Roman" w:hAnsi="Times New Roman" w:eastAsia="宋体"/>
          <w:lang w:bidi="ar"/>
        </w:rPr>
        <w:t>评标结束15日内，招标人将以书面形式发出《中标通知书》，但发出时间不超过投标有效期，《中标通知书》一经发出及发生法律效力。中标通知书发出15日内，中标人必须与买方签订合同。《中标通知书》将作为签订合同的依据。不解释落标原因，不退回投标文件。</w:t>
      </w:r>
      <w:bookmarkEnd w:id="17"/>
    </w:p>
    <w:p>
      <w:pPr>
        <w:pStyle w:val="8"/>
        <w:widowControl/>
        <w:numPr>
          <w:ilvl w:val="0"/>
          <w:numId w:val="7"/>
        </w:numPr>
        <w:spacing w:beforeAutospacing="0" w:afterAutospacing="0" w:line="360" w:lineRule="auto"/>
        <w:ind w:firstLine="0"/>
        <w:outlineLvl w:val="0"/>
        <w:rPr>
          <w:rFonts w:ascii="Times New Roman" w:hAnsi="Times New Roman" w:eastAsia="宋体"/>
          <w:b/>
          <w:bCs/>
          <w:kern w:val="2"/>
        </w:rPr>
      </w:pPr>
      <w:bookmarkStart w:id="18" w:name="_Toc15696"/>
      <w:r>
        <w:rPr>
          <w:rFonts w:ascii="Times New Roman" w:hAnsi="Times New Roman" w:eastAsia="宋体"/>
          <w:b/>
          <w:bCs/>
          <w:kern w:val="2"/>
        </w:rPr>
        <w:t>附件</w:t>
      </w:r>
      <w:bookmarkEnd w:id="18"/>
    </w:p>
    <w:p>
      <w:pPr>
        <w:pStyle w:val="8"/>
        <w:widowControl/>
        <w:spacing w:beforeAutospacing="0" w:afterAutospacing="0" w:line="360" w:lineRule="auto"/>
        <w:ind w:firstLine="240" w:firstLineChars="100"/>
        <w:outlineLvl w:val="0"/>
        <w:rPr>
          <w:rFonts w:ascii="Times New Roman" w:hAnsi="Times New Roman" w:eastAsia="宋体"/>
        </w:rPr>
      </w:pPr>
      <w:bookmarkStart w:id="19" w:name="_Toc26664"/>
      <w:r>
        <w:rPr>
          <w:rFonts w:ascii="Times New Roman" w:hAnsi="Times New Roman" w:eastAsia="宋体"/>
          <w:lang w:bidi="ar"/>
        </w:rPr>
        <w:t>附件1：</w:t>
      </w:r>
      <w:r>
        <w:rPr>
          <w:rFonts w:hint="eastAsia" w:ascii="Times New Roman" w:hAnsi="Times New Roman" w:eastAsia="宋体"/>
          <w:lang w:bidi="ar"/>
        </w:rPr>
        <w:t>投</w:t>
      </w:r>
      <w:r>
        <w:rPr>
          <w:rFonts w:ascii="Times New Roman" w:hAnsi="Times New Roman" w:eastAsia="宋体"/>
          <w:lang w:bidi="ar"/>
        </w:rPr>
        <w:t>标书内容及格式</w:t>
      </w:r>
      <w:bookmarkEnd w:id="19"/>
    </w:p>
    <w:p>
      <w:pPr>
        <w:pStyle w:val="8"/>
        <w:widowControl/>
        <w:spacing w:beforeAutospacing="0" w:afterAutospacing="0" w:line="360" w:lineRule="auto"/>
        <w:ind w:firstLine="240" w:firstLineChars="100"/>
        <w:outlineLvl w:val="0"/>
        <w:rPr>
          <w:rFonts w:ascii="Times New Roman" w:hAnsi="Times New Roman" w:eastAsia="宋体"/>
        </w:rPr>
      </w:pPr>
      <w:bookmarkStart w:id="20" w:name="_Toc14067"/>
      <w:r>
        <w:rPr>
          <w:rFonts w:ascii="Times New Roman" w:hAnsi="Times New Roman" w:eastAsia="宋体"/>
          <w:lang w:bidi="ar"/>
        </w:rPr>
        <w:t>附件2：</w:t>
      </w:r>
      <w:r>
        <w:rPr>
          <w:rFonts w:ascii="Times New Roman" w:hAnsi="Times New Roman" w:eastAsia="宋体"/>
          <w:bCs/>
          <w:lang w:bidi="ar"/>
        </w:rPr>
        <w:t>设备性能及参数要求</w:t>
      </w:r>
      <w:bookmarkEnd w:id="20"/>
    </w:p>
    <w:p>
      <w:pPr>
        <w:pStyle w:val="8"/>
        <w:widowControl/>
        <w:spacing w:beforeAutospacing="0" w:afterAutospacing="0" w:line="360" w:lineRule="auto"/>
        <w:ind w:firstLine="240" w:firstLineChars="100"/>
        <w:outlineLvl w:val="0"/>
        <w:rPr>
          <w:rFonts w:ascii="Times New Roman" w:hAnsi="Times New Roman" w:eastAsia="宋体"/>
        </w:rPr>
      </w:pPr>
      <w:bookmarkStart w:id="21" w:name="_Toc17418"/>
      <w:r>
        <w:rPr>
          <w:rFonts w:ascii="Times New Roman" w:hAnsi="Times New Roman" w:eastAsia="宋体"/>
          <w:lang w:bidi="ar"/>
        </w:rPr>
        <w:t>附件3：合同</w:t>
      </w:r>
      <w:r>
        <w:rPr>
          <w:rFonts w:hint="eastAsia" w:ascii="Times New Roman" w:hAnsi="Times New Roman" w:eastAsia="宋体"/>
          <w:lang w:bidi="ar"/>
        </w:rPr>
        <w:t>基本</w:t>
      </w:r>
      <w:r>
        <w:rPr>
          <w:rFonts w:ascii="Times New Roman" w:hAnsi="Times New Roman" w:eastAsia="宋体"/>
          <w:lang w:bidi="ar"/>
        </w:rPr>
        <w:t>条款</w:t>
      </w:r>
      <w:bookmarkEnd w:id="21"/>
      <w:bookmarkStart w:id="22" w:name="_Toc85016589"/>
      <w:bookmarkEnd w:id="22"/>
    </w:p>
    <w:p>
      <w:pPr>
        <w:pStyle w:val="16"/>
        <w:widowControl/>
        <w:spacing w:line="312" w:lineRule="auto"/>
        <w:outlineLvl w:val="0"/>
        <w:rPr>
          <w:rFonts w:ascii="Times New Roman" w:hAnsi="Times New Roman" w:eastAsia="宋体"/>
          <w:b/>
          <w:bCs/>
        </w:rPr>
      </w:pPr>
      <w:bookmarkStart w:id="23" w:name="_Toc88754662"/>
      <w:bookmarkEnd w:id="23"/>
      <w:bookmarkStart w:id="24" w:name="_Toc14866"/>
      <w:r>
        <w:rPr>
          <w:rFonts w:ascii="Times New Roman" w:hAnsi="Times New Roman" w:eastAsia="宋体"/>
          <w:b/>
          <w:bCs/>
        </w:rPr>
        <w:t>附件1. 投标书内容及格式</w:t>
      </w:r>
      <w:bookmarkEnd w:id="24"/>
    </w:p>
    <w:p>
      <w:pPr>
        <w:pStyle w:val="16"/>
        <w:widowControl/>
        <w:spacing w:line="312" w:lineRule="auto"/>
        <w:outlineLvl w:val="1"/>
        <w:rPr>
          <w:rFonts w:ascii="Times New Roman" w:hAnsi="Times New Roman" w:eastAsia="宋体"/>
        </w:rPr>
      </w:pPr>
      <w:bookmarkStart w:id="25" w:name="_Toc85016590"/>
      <w:bookmarkEnd w:id="25"/>
      <w:bookmarkStart w:id="26" w:name="_Toc8965"/>
      <w:r>
        <w:rPr>
          <w:rFonts w:ascii="Times New Roman" w:hAnsi="Times New Roman" w:eastAsia="宋体"/>
          <w:b/>
          <w:bCs/>
        </w:rPr>
        <w:t>一、 投标书封面</w:t>
      </w:r>
      <w:bookmarkEnd w:id="26"/>
    </w:p>
    <w:tbl>
      <w:tblPr>
        <w:tblStyle w:val="9"/>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87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1220" w:hRule="atLeast"/>
          <w:jc w:val="center"/>
        </w:trPr>
        <w:tc>
          <w:tcPr>
            <w:tcW w:w="87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8"/>
              <w:widowControl/>
              <w:spacing w:line="312" w:lineRule="auto"/>
              <w:jc w:val="center"/>
              <w:rPr>
                <w:rFonts w:ascii="Times New Roman" w:hAnsi="Times New Roman" w:eastAsia="宋体"/>
              </w:rPr>
            </w:pPr>
            <w:r>
              <w:rPr>
                <w:rFonts w:ascii="Times New Roman" w:hAnsi="Times New Roman" w:eastAsia="宋体"/>
                <w:b/>
                <w:bCs/>
                <w:lang w:bidi="ar"/>
              </w:rPr>
              <w:t>投 标 书</w:t>
            </w:r>
          </w:p>
          <w:p>
            <w:pPr>
              <w:pStyle w:val="8"/>
              <w:widowControl/>
              <w:spacing w:line="312" w:lineRule="auto"/>
              <w:rPr>
                <w:rFonts w:ascii="Times New Roman" w:hAnsi="Times New Roman" w:eastAsia="宋体"/>
              </w:rPr>
            </w:pPr>
            <w:r>
              <w:rPr>
                <w:rFonts w:ascii="Times New Roman" w:hAnsi="Times New Roman" w:eastAsia="宋体"/>
                <w:lang w:bidi="ar"/>
              </w:rPr>
              <w:t> </w:t>
            </w:r>
          </w:p>
          <w:p>
            <w:pPr>
              <w:pStyle w:val="8"/>
              <w:widowControl/>
              <w:spacing w:line="312" w:lineRule="auto"/>
              <w:rPr>
                <w:rFonts w:ascii="Times New Roman" w:hAnsi="Times New Roman" w:eastAsia="宋体"/>
              </w:rPr>
            </w:pPr>
            <w:r>
              <w:rPr>
                <w:rFonts w:ascii="Times New Roman" w:hAnsi="Times New Roman" w:eastAsia="宋体"/>
                <w:lang w:bidi="ar"/>
              </w:rPr>
              <w:t xml:space="preserve">   </w:t>
            </w:r>
            <w:r>
              <w:rPr>
                <w:rFonts w:ascii="Times New Roman" w:hAnsi="Times New Roman" w:eastAsia="宋体"/>
                <w:b/>
                <w:bCs/>
                <w:lang w:bidi="ar"/>
              </w:rPr>
              <w:t>项 目 名 称：赛普特公司药理部仪器设备采购</w:t>
            </w:r>
            <w:r>
              <w:rPr>
                <w:rFonts w:ascii="Times New Roman" w:hAnsi="Times New Roman" w:eastAsia="宋体"/>
                <w:b/>
                <w:bCs/>
                <w:lang w:bidi="ar"/>
              </w:rPr>
              <w:br w:type="textWrapping"/>
            </w:r>
            <w:r>
              <w:rPr>
                <w:rFonts w:ascii="Times New Roman" w:hAnsi="Times New Roman" w:eastAsia="宋体"/>
                <w:b/>
                <w:bCs/>
                <w:lang w:bidi="ar"/>
              </w:rPr>
              <w:br w:type="textWrapping"/>
            </w:r>
            <w:r>
              <w:rPr>
                <w:rFonts w:ascii="Times New Roman" w:hAnsi="Times New Roman" w:eastAsia="宋体"/>
                <w:b/>
                <w:bCs/>
                <w:lang w:bidi="ar"/>
              </w:rPr>
              <w:t>　投 标 单 位：</w:t>
            </w:r>
            <w:r>
              <w:rPr>
                <w:rFonts w:ascii="Times New Roman" w:hAnsi="Times New Roman" w:eastAsia="宋体"/>
                <w:b/>
                <w:bCs/>
                <w:lang w:bidi="ar"/>
              </w:rPr>
              <w:br w:type="textWrapping"/>
            </w:r>
            <w:r>
              <w:rPr>
                <w:rFonts w:ascii="Times New Roman" w:hAnsi="Times New Roman" w:eastAsia="宋体"/>
                <w:b/>
                <w:bCs/>
                <w:lang w:bidi="ar"/>
              </w:rPr>
              <w:br w:type="textWrapping"/>
            </w:r>
            <w:r>
              <w:rPr>
                <w:rFonts w:ascii="Times New Roman" w:hAnsi="Times New Roman" w:eastAsia="宋体"/>
                <w:b/>
                <w:bCs/>
                <w:lang w:bidi="ar"/>
              </w:rPr>
              <w:t>　投标单位全权代表（法人或授权人）：</w:t>
            </w:r>
          </w:p>
          <w:p>
            <w:pPr>
              <w:pStyle w:val="8"/>
              <w:widowControl/>
              <w:spacing w:line="312" w:lineRule="auto"/>
              <w:rPr>
                <w:rFonts w:ascii="Times New Roman" w:hAnsi="Times New Roman" w:eastAsia="宋体"/>
              </w:rPr>
            </w:pPr>
            <w:r>
              <w:rPr>
                <w:rFonts w:ascii="Times New Roman" w:hAnsi="Times New Roman" w:eastAsia="宋体"/>
                <w:lang w:bidi="ar"/>
              </w:rPr>
              <w:t> </w:t>
            </w:r>
          </w:p>
          <w:p>
            <w:pPr>
              <w:pStyle w:val="8"/>
              <w:widowControl/>
              <w:spacing w:line="312" w:lineRule="auto"/>
              <w:rPr>
                <w:rFonts w:ascii="Times New Roman" w:hAnsi="Times New Roman" w:eastAsia="宋体"/>
              </w:rPr>
            </w:pPr>
            <w:r>
              <w:rPr>
                <w:rFonts w:ascii="Times New Roman" w:hAnsi="Times New Roman" w:eastAsia="宋体"/>
                <w:lang w:bidi="ar"/>
              </w:rPr>
              <w:br w:type="textWrapping"/>
            </w:r>
            <w:r>
              <w:rPr>
                <w:rStyle w:val="15"/>
                <w:rFonts w:ascii="Times New Roman" w:hAnsi="Times New Roman" w:eastAsia="宋体"/>
                <w:b/>
                <w:bCs/>
                <w:lang w:bidi="ar"/>
              </w:rPr>
              <w:t>投标单位：　　　　　　（公章）</w:t>
            </w:r>
          </w:p>
          <w:p>
            <w:pPr>
              <w:pStyle w:val="8"/>
              <w:widowControl/>
              <w:spacing w:line="312" w:lineRule="auto"/>
              <w:rPr>
                <w:rFonts w:ascii="Times New Roman" w:hAnsi="Times New Roman" w:eastAsia="宋体"/>
              </w:rPr>
            </w:pPr>
            <w:r>
              <w:rPr>
                <w:rFonts w:ascii="Times New Roman" w:hAnsi="Times New Roman" w:eastAsia="宋体"/>
                <w:lang w:bidi="ar"/>
              </w:rPr>
              <w:t> </w:t>
            </w:r>
          </w:p>
          <w:p>
            <w:pPr>
              <w:pStyle w:val="8"/>
              <w:widowControl/>
              <w:spacing w:line="312" w:lineRule="auto"/>
              <w:rPr>
                <w:rFonts w:ascii="Times New Roman" w:hAnsi="Times New Roman" w:eastAsia="宋体"/>
              </w:rPr>
            </w:pPr>
            <w:r>
              <w:rPr>
                <w:rFonts w:ascii="Times New Roman" w:hAnsi="Times New Roman" w:eastAsia="宋体"/>
                <w:lang w:bidi="ar"/>
              </w:rPr>
              <w:t> </w:t>
            </w:r>
          </w:p>
          <w:p>
            <w:pPr>
              <w:pStyle w:val="8"/>
              <w:widowControl/>
              <w:spacing w:line="312" w:lineRule="auto"/>
              <w:rPr>
                <w:rFonts w:ascii="Times New Roman" w:hAnsi="Times New Roman" w:eastAsia="宋体"/>
              </w:rPr>
            </w:pPr>
            <w:r>
              <w:rPr>
                <w:rFonts w:ascii="Times New Roman" w:hAnsi="Times New Roman" w:eastAsia="宋体"/>
                <w:b/>
                <w:bCs/>
                <w:lang w:bidi="ar"/>
              </w:rPr>
              <w:t xml:space="preserve">                                   年 　　月　　日</w:t>
            </w:r>
          </w:p>
        </w:tc>
      </w:tr>
    </w:tbl>
    <w:p>
      <w:pPr>
        <w:pStyle w:val="8"/>
        <w:widowControl/>
        <w:spacing w:line="312" w:lineRule="auto"/>
        <w:rPr>
          <w:rFonts w:ascii="Times New Roman" w:hAnsi="Times New Roman" w:eastAsia="宋体"/>
          <w:b/>
          <w:bCs/>
          <w:lang w:bidi="ar"/>
        </w:rPr>
      </w:pPr>
    </w:p>
    <w:p>
      <w:pPr>
        <w:pStyle w:val="8"/>
        <w:widowControl/>
        <w:spacing w:line="312" w:lineRule="auto"/>
        <w:outlineLvl w:val="1"/>
        <w:rPr>
          <w:rFonts w:ascii="Times New Roman" w:hAnsi="Times New Roman" w:eastAsia="宋体"/>
        </w:rPr>
      </w:pPr>
      <w:bookmarkStart w:id="27" w:name="_Toc24120"/>
      <w:r>
        <w:rPr>
          <w:rFonts w:ascii="Times New Roman" w:hAnsi="Times New Roman" w:eastAsia="宋体"/>
          <w:b/>
          <w:bCs/>
          <w:lang w:bidi="ar"/>
        </w:rPr>
        <w:t>二、 投标书</w:t>
      </w:r>
      <w:bookmarkEnd w:id="27"/>
    </w:p>
    <w:p>
      <w:pPr>
        <w:pStyle w:val="8"/>
        <w:widowControl/>
        <w:spacing w:beforeAutospacing="0" w:afterAutospacing="0" w:line="336" w:lineRule="auto"/>
      </w:pPr>
      <w:r>
        <w:t>致：__</w:t>
      </w:r>
      <w:r>
        <w:rPr>
          <w:u w:val="single"/>
        </w:rPr>
        <w:t>广州市赛普特医药科技股份有限公司_</w:t>
      </w:r>
      <w:r>
        <w:t>_____</w:t>
      </w:r>
      <w:r>
        <w:br w:type="textWrapping"/>
      </w:r>
      <w:r>
        <w:rPr>
          <w:rFonts w:hint="eastAsia"/>
        </w:rPr>
        <w:tab/>
      </w:r>
      <w:r>
        <w:t>根据贵方为</w:t>
      </w:r>
      <w:r>
        <w:rPr>
          <w:rFonts w:hint="eastAsia"/>
          <w:u w:val="single"/>
        </w:rPr>
        <w:t xml:space="preserve">  </w:t>
      </w:r>
      <w:r>
        <w:rPr>
          <w:u w:val="single"/>
        </w:rPr>
        <w:t>赛普特药理部</w:t>
      </w:r>
      <w:r>
        <w:rPr>
          <w:rFonts w:hint="eastAsia"/>
          <w:u w:val="single"/>
          <w:lang w:val="en-US" w:eastAsia="zh-CN"/>
        </w:rPr>
        <w:t>酶标仪</w:t>
      </w:r>
      <w:r>
        <w:rPr>
          <w:u w:val="single"/>
        </w:rPr>
        <w:t>采购</w:t>
      </w:r>
      <w:r>
        <w:rPr>
          <w:rFonts w:hint="eastAsia"/>
          <w:u w:val="single"/>
          <w:lang w:eastAsia="zh-CN"/>
        </w:rPr>
        <w:t>（</w:t>
      </w:r>
      <w:r>
        <w:rPr>
          <w:rFonts w:hint="eastAsia"/>
          <w:u w:val="single"/>
          <w:lang w:val="en-US" w:eastAsia="zh-CN"/>
        </w:rPr>
        <w:t>含电脑和3Q验证</w:t>
      </w:r>
      <w:r>
        <w:rPr>
          <w:rFonts w:hint="eastAsia"/>
          <w:u w:val="single"/>
          <w:lang w:eastAsia="zh-CN"/>
        </w:rPr>
        <w:t>）</w:t>
      </w:r>
      <w:r>
        <w:rPr>
          <w:rFonts w:hint="eastAsia"/>
          <w:u w:val="single"/>
        </w:rPr>
        <w:t xml:space="preserve">   </w:t>
      </w:r>
      <w:r>
        <w:t>项目招标采购货物及服务的投标邀请</w:t>
      </w:r>
      <w:r>
        <w:rPr>
          <w:rFonts w:cs="宋体"/>
          <w:u w:val="single"/>
        </w:rPr>
        <w:t xml:space="preserve">   </w:t>
      </w:r>
      <w:r>
        <w:rPr>
          <w:rFonts w:hint="eastAsia" w:cs="宋体"/>
          <w:u w:val="single"/>
        </w:rPr>
        <w:t xml:space="preserve">  </w:t>
      </w:r>
      <w:r>
        <w:rPr>
          <w:rFonts w:cs="宋体"/>
          <w:u w:val="single"/>
        </w:rPr>
        <w:t xml:space="preserve">   </w:t>
      </w:r>
      <w:r>
        <w:rPr>
          <w:rFonts w:hint="eastAsia" w:cs="宋体"/>
          <w:u w:val="single"/>
        </w:rPr>
        <w:t xml:space="preserve">          </w:t>
      </w:r>
      <w:r>
        <w:t>（招标编号），签字代表</w:t>
      </w:r>
      <w:r>
        <w:rPr>
          <w:rFonts w:cs="宋体"/>
          <w:u w:val="single"/>
        </w:rPr>
        <w:t xml:space="preserve">   </w:t>
      </w:r>
      <w:r>
        <w:rPr>
          <w:rFonts w:hint="eastAsia" w:cs="宋体"/>
          <w:u w:val="single"/>
        </w:rPr>
        <w:t xml:space="preserve">  </w:t>
      </w:r>
      <w:r>
        <w:rPr>
          <w:rFonts w:cs="宋体"/>
          <w:u w:val="single"/>
        </w:rPr>
        <w:t xml:space="preserve">   </w:t>
      </w:r>
      <w:r>
        <w:rPr>
          <w:rFonts w:hint="eastAsia" w:cs="宋体"/>
          <w:u w:val="single"/>
        </w:rPr>
        <w:t xml:space="preserve">            </w:t>
      </w:r>
      <w:r>
        <w:t>（全名、职务）经正式授权并代表投标人</w:t>
      </w:r>
      <w:r>
        <w:rPr>
          <w:rFonts w:cs="宋体"/>
          <w:u w:val="single"/>
        </w:rPr>
        <w:t xml:space="preserve">   </w:t>
      </w:r>
      <w:r>
        <w:rPr>
          <w:rFonts w:hint="eastAsia" w:cs="宋体"/>
          <w:u w:val="single"/>
        </w:rPr>
        <w:t xml:space="preserve">  </w:t>
      </w:r>
      <w:r>
        <w:rPr>
          <w:rFonts w:cs="宋体"/>
          <w:u w:val="single"/>
        </w:rPr>
        <w:t xml:space="preserve">   </w:t>
      </w:r>
      <w:r>
        <w:rPr>
          <w:rFonts w:hint="eastAsia" w:cs="宋体"/>
          <w:u w:val="single"/>
        </w:rPr>
        <w:t xml:space="preserve">         </w:t>
      </w:r>
      <w:r>
        <w:t>（投标方名称、地址）提交下述文件正本一份。</w:t>
      </w:r>
    </w:p>
    <w:p>
      <w:pPr>
        <w:pStyle w:val="8"/>
        <w:widowControl/>
        <w:numPr>
          <w:ilvl w:val="0"/>
          <w:numId w:val="10"/>
        </w:numPr>
        <w:spacing w:beforeAutospacing="0" w:afterAutospacing="0" w:line="336" w:lineRule="auto"/>
        <w:rPr>
          <w:rFonts w:ascii="Times New Roman" w:hAnsi="Times New Roman" w:eastAsia="宋体"/>
        </w:rPr>
      </w:pPr>
      <w:r>
        <w:rPr>
          <w:rFonts w:ascii="Times New Roman" w:hAnsi="Times New Roman" w:eastAsia="宋体"/>
        </w:rPr>
        <w:t>开标一览表（标书文件）</w:t>
      </w:r>
    </w:p>
    <w:p>
      <w:pPr>
        <w:pStyle w:val="8"/>
        <w:widowControl/>
        <w:numPr>
          <w:ilvl w:val="0"/>
          <w:numId w:val="10"/>
        </w:numPr>
        <w:spacing w:beforeAutospacing="0" w:afterAutospacing="0" w:line="336" w:lineRule="auto"/>
        <w:rPr>
          <w:rFonts w:ascii="Times New Roman" w:hAnsi="Times New Roman" w:eastAsia="宋体"/>
        </w:rPr>
      </w:pPr>
      <w:r>
        <w:rPr>
          <w:rFonts w:ascii="Times New Roman" w:hAnsi="Times New Roman" w:eastAsia="宋体"/>
        </w:rPr>
        <w:t>投标价格表</w:t>
      </w:r>
    </w:p>
    <w:p>
      <w:pPr>
        <w:pStyle w:val="8"/>
        <w:widowControl/>
        <w:numPr>
          <w:ilvl w:val="0"/>
          <w:numId w:val="10"/>
        </w:numPr>
        <w:spacing w:beforeAutospacing="0" w:afterAutospacing="0" w:line="336" w:lineRule="auto"/>
        <w:rPr>
          <w:rFonts w:ascii="Times New Roman" w:hAnsi="Times New Roman" w:eastAsia="宋体"/>
        </w:rPr>
      </w:pPr>
      <w:r>
        <w:rPr>
          <w:rFonts w:ascii="Times New Roman" w:hAnsi="Times New Roman" w:eastAsia="宋体"/>
        </w:rPr>
        <w:t>货物简要说明一览表</w:t>
      </w:r>
    </w:p>
    <w:p>
      <w:pPr>
        <w:pStyle w:val="8"/>
        <w:widowControl/>
        <w:numPr>
          <w:ilvl w:val="0"/>
          <w:numId w:val="10"/>
        </w:numPr>
        <w:spacing w:beforeAutospacing="0" w:afterAutospacing="0" w:line="336" w:lineRule="auto"/>
        <w:rPr>
          <w:rFonts w:ascii="Times New Roman" w:hAnsi="Times New Roman"/>
        </w:rPr>
      </w:pPr>
      <w:r>
        <w:rPr>
          <w:rFonts w:ascii="Times New Roman" w:hAnsi="Times New Roman" w:eastAsia="宋体"/>
        </w:rPr>
        <w:t>资格证明文件（见</w:t>
      </w:r>
      <w:r>
        <w:rPr>
          <w:rFonts w:hint="eastAsia" w:ascii="Times New Roman" w:hAnsi="Times New Roman" w:eastAsia="宋体"/>
        </w:rPr>
        <w:t>投标须知：</w:t>
      </w:r>
      <w:r>
        <w:rPr>
          <w:rFonts w:ascii="Times New Roman" w:hAnsi="Times New Roman" w:eastAsia="宋体"/>
        </w:rPr>
        <w:t>招标人的资质要求）</w:t>
      </w:r>
    </w:p>
    <w:p>
      <w:pPr>
        <w:pStyle w:val="8"/>
        <w:widowControl/>
        <w:spacing w:beforeAutospacing="0" w:afterAutospacing="0" w:line="336" w:lineRule="auto"/>
        <w:ind w:firstLine="420"/>
      </w:pPr>
      <w:r>
        <w:t>据此函，签字代表宣布同意如下：</w:t>
      </w:r>
    </w:p>
    <w:p>
      <w:pPr>
        <w:pStyle w:val="8"/>
        <w:widowControl/>
        <w:numPr>
          <w:ilvl w:val="0"/>
          <w:numId w:val="11"/>
        </w:numPr>
        <w:spacing w:beforeAutospacing="0" w:afterAutospacing="0" w:line="336" w:lineRule="auto"/>
        <w:rPr>
          <w:rFonts w:ascii="Times New Roman" w:hAnsi="Times New Roman" w:eastAsia="宋体"/>
        </w:rPr>
      </w:pPr>
      <w:r>
        <w:t>所附投标报价表中规定的应提供和交付的货物投标总价为人民币</w:t>
      </w:r>
      <w:r>
        <w:rPr>
          <w:rFonts w:cs="宋体"/>
          <w:u w:val="single"/>
        </w:rPr>
        <w:t xml:space="preserve">   </w:t>
      </w:r>
      <w:r>
        <w:rPr>
          <w:rFonts w:hint="eastAsia" w:cs="宋体"/>
          <w:u w:val="single"/>
        </w:rPr>
        <w:t xml:space="preserve">        </w:t>
      </w:r>
      <w:r>
        <w:rPr>
          <w:rFonts w:cs="宋体"/>
          <w:u w:val="single"/>
        </w:rPr>
        <w:t xml:space="preserve">   </w:t>
      </w:r>
      <w:r>
        <w:t>元。</w:t>
      </w:r>
    </w:p>
    <w:p>
      <w:pPr>
        <w:pStyle w:val="8"/>
        <w:widowControl/>
        <w:numPr>
          <w:ilvl w:val="0"/>
          <w:numId w:val="11"/>
        </w:numPr>
        <w:spacing w:beforeAutospacing="0" w:afterAutospacing="0" w:line="336" w:lineRule="auto"/>
        <w:rPr>
          <w:rFonts w:ascii="Times New Roman" w:hAnsi="Times New Roman" w:eastAsia="宋体"/>
        </w:rPr>
      </w:pPr>
      <w:r>
        <w:rPr>
          <w:rFonts w:cs="宋体"/>
        </w:rPr>
        <w:t>投标人将按招标文件的规定履行合同责任和义务。</w:t>
      </w:r>
    </w:p>
    <w:p>
      <w:pPr>
        <w:pStyle w:val="8"/>
        <w:widowControl/>
        <w:numPr>
          <w:ilvl w:val="0"/>
          <w:numId w:val="11"/>
        </w:numPr>
        <w:spacing w:beforeAutospacing="0" w:afterAutospacing="0" w:line="336" w:lineRule="auto"/>
        <w:rPr>
          <w:rFonts w:ascii="Times New Roman" w:hAnsi="Times New Roman" w:eastAsia="宋体"/>
        </w:rPr>
      </w:pPr>
      <w:r>
        <w:rPr>
          <w:rFonts w:cs="宋体"/>
        </w:rPr>
        <w:t>投标人已详细审查全部招标文件，包括修改文件（如需要修改）以及全部参考资料和有关附件。我们完全理解并同意放弃对这方面有不明及误解的权</w:t>
      </w:r>
      <w:r>
        <w:rPr>
          <w:rFonts w:hint="eastAsia" w:cs="宋体"/>
        </w:rPr>
        <w:t>利。</w:t>
      </w:r>
    </w:p>
    <w:p>
      <w:pPr>
        <w:pStyle w:val="8"/>
        <w:widowControl/>
        <w:numPr>
          <w:ilvl w:val="0"/>
          <w:numId w:val="11"/>
        </w:numPr>
        <w:spacing w:beforeAutospacing="0" w:afterAutospacing="0" w:line="336" w:lineRule="auto"/>
        <w:rPr>
          <w:rFonts w:ascii="Times New Roman" w:hAnsi="Times New Roman" w:eastAsia="宋体"/>
        </w:rPr>
      </w:pPr>
      <w:r>
        <w:rPr>
          <w:rFonts w:cs="宋体"/>
        </w:rPr>
        <w:t>其投标自开标日期有效期为</w:t>
      </w:r>
      <w:r>
        <w:rPr>
          <w:rFonts w:cs="宋体"/>
          <w:u w:val="single"/>
        </w:rPr>
        <w:t xml:space="preserve">   </w:t>
      </w:r>
      <w:r>
        <w:rPr>
          <w:rFonts w:hint="eastAsia" w:cs="宋体"/>
          <w:u w:val="single"/>
        </w:rPr>
        <w:t xml:space="preserve">  </w:t>
      </w:r>
      <w:r>
        <w:rPr>
          <w:rFonts w:cs="宋体"/>
          <w:u w:val="single"/>
        </w:rPr>
        <w:t xml:space="preserve">   </w:t>
      </w:r>
      <w:r>
        <w:rPr>
          <w:rFonts w:cs="宋体"/>
        </w:rPr>
        <w:t>个日历日。</w:t>
      </w:r>
    </w:p>
    <w:p>
      <w:pPr>
        <w:pStyle w:val="8"/>
        <w:widowControl/>
        <w:numPr>
          <w:ilvl w:val="0"/>
          <w:numId w:val="11"/>
        </w:numPr>
        <w:spacing w:beforeAutospacing="0" w:afterAutospacing="0" w:line="336" w:lineRule="auto"/>
        <w:rPr>
          <w:rFonts w:ascii="Times New Roman" w:hAnsi="Times New Roman" w:eastAsia="宋体"/>
        </w:rPr>
      </w:pPr>
      <w:r>
        <w:rPr>
          <w:rFonts w:cs="宋体"/>
        </w:rPr>
        <w:t>如果在规定的开标日期后，投标人在投标有效期内撤回投标，其投标保证金将被贵方没收。</w:t>
      </w:r>
    </w:p>
    <w:p>
      <w:pPr>
        <w:pStyle w:val="8"/>
        <w:widowControl/>
        <w:numPr>
          <w:ilvl w:val="0"/>
          <w:numId w:val="11"/>
        </w:numPr>
        <w:spacing w:beforeAutospacing="0" w:afterAutospacing="0" w:line="336" w:lineRule="auto"/>
        <w:rPr>
          <w:rFonts w:ascii="Times New Roman" w:hAnsi="Times New Roman" w:eastAsia="宋体"/>
        </w:rPr>
      </w:pPr>
      <w:r>
        <w:rPr>
          <w:rFonts w:cs="宋体"/>
        </w:rPr>
        <w:t>投标人同意提供按照贵方可能要求的与其投标有关的一切数据或资料，完全理解不一定要接受最低价格的投标或受到的任何投标。</w:t>
      </w:r>
    </w:p>
    <w:p>
      <w:pPr>
        <w:pStyle w:val="8"/>
        <w:widowControl/>
        <w:numPr>
          <w:ilvl w:val="0"/>
          <w:numId w:val="11"/>
        </w:numPr>
        <w:spacing w:beforeAutospacing="0" w:afterAutospacing="0" w:line="336" w:lineRule="auto"/>
        <w:rPr>
          <w:rFonts w:ascii="Times New Roman" w:hAnsi="Times New Roman" w:eastAsia="宋体"/>
        </w:rPr>
      </w:pPr>
      <w:r>
        <w:rPr>
          <w:rFonts w:cs="宋体"/>
        </w:rPr>
        <w:t>与本投标有关的一切正式往来通讯请寄：</w:t>
      </w:r>
    </w:p>
    <w:p>
      <w:pPr>
        <w:pStyle w:val="8"/>
        <w:widowControl/>
        <w:spacing w:beforeAutospacing="0" w:afterAutospacing="0" w:line="336" w:lineRule="auto"/>
        <w:rPr>
          <w:rFonts w:ascii="Times New Roman" w:hAnsi="Times New Roman" w:eastAsia="宋体"/>
        </w:rPr>
      </w:pPr>
      <w:r>
        <w:rPr>
          <w:rFonts w:ascii="Times New Roman" w:hAnsi="Times New Roman" w:eastAsia="宋体"/>
          <w:lang w:bidi="ar"/>
        </w:rPr>
        <w:t>地址：</w:t>
      </w:r>
      <w:r>
        <w:rPr>
          <w:rFonts w:cs="宋体"/>
          <w:u w:val="single"/>
        </w:rPr>
        <w:t xml:space="preserve">   </w:t>
      </w:r>
      <w:r>
        <w:rPr>
          <w:rFonts w:hint="eastAsia" w:cs="宋体"/>
          <w:u w:val="single"/>
        </w:rPr>
        <w:t xml:space="preserve">                            </w:t>
      </w:r>
      <w:r>
        <w:rPr>
          <w:rFonts w:cs="宋体"/>
          <w:u w:val="single"/>
        </w:rPr>
        <w:t xml:space="preserve">   </w:t>
      </w:r>
      <w:r>
        <w:rPr>
          <w:rFonts w:ascii="Times New Roman" w:hAnsi="Times New Roman" w:eastAsia="宋体"/>
          <w:lang w:bidi="ar"/>
        </w:rPr>
        <w:t xml:space="preserve"> </w:t>
      </w:r>
    </w:p>
    <w:p>
      <w:pPr>
        <w:pStyle w:val="8"/>
        <w:widowControl/>
        <w:spacing w:beforeAutospacing="0" w:afterAutospacing="0" w:line="336" w:lineRule="auto"/>
        <w:rPr>
          <w:rFonts w:cs="宋体"/>
          <w:u w:val="single"/>
        </w:rPr>
      </w:pPr>
      <w:r>
        <w:rPr>
          <w:rFonts w:ascii="Times New Roman" w:hAnsi="Times New Roman" w:eastAsia="宋体"/>
          <w:lang w:bidi="ar"/>
        </w:rPr>
        <w:t>邮编：</w:t>
      </w:r>
      <w:r>
        <w:rPr>
          <w:rFonts w:cs="宋体"/>
          <w:u w:val="single"/>
        </w:rPr>
        <w:t xml:space="preserve">   </w:t>
      </w:r>
      <w:r>
        <w:rPr>
          <w:rFonts w:hint="eastAsia" w:cs="宋体"/>
          <w:u w:val="single"/>
        </w:rPr>
        <w:t xml:space="preserve">                            </w:t>
      </w:r>
      <w:r>
        <w:rPr>
          <w:rFonts w:cs="宋体"/>
          <w:u w:val="single"/>
        </w:rPr>
        <w:t xml:space="preserve">   </w:t>
      </w:r>
      <w:r>
        <w:rPr>
          <w:rFonts w:ascii="Times New Roman" w:hAnsi="Times New Roman" w:eastAsia="宋体"/>
          <w:lang w:bidi="ar"/>
        </w:rPr>
        <w:br w:type="textWrapping"/>
      </w:r>
      <w:r>
        <w:rPr>
          <w:rFonts w:ascii="Times New Roman" w:hAnsi="Times New Roman" w:eastAsia="宋体"/>
          <w:lang w:bidi="ar"/>
        </w:rPr>
        <w:t>电话：</w:t>
      </w:r>
      <w:r>
        <w:rPr>
          <w:rFonts w:cs="宋体"/>
          <w:u w:val="single"/>
        </w:rPr>
        <w:t xml:space="preserve">   </w:t>
      </w:r>
      <w:r>
        <w:rPr>
          <w:rFonts w:hint="eastAsia" w:cs="宋体"/>
          <w:u w:val="single"/>
        </w:rPr>
        <w:t xml:space="preserve">                            </w:t>
      </w:r>
      <w:r>
        <w:rPr>
          <w:rFonts w:cs="宋体"/>
          <w:u w:val="single"/>
        </w:rPr>
        <w:t xml:space="preserve">   </w:t>
      </w:r>
    </w:p>
    <w:p>
      <w:pPr>
        <w:pStyle w:val="8"/>
        <w:widowControl/>
        <w:spacing w:beforeAutospacing="0" w:afterAutospacing="0" w:line="336" w:lineRule="auto"/>
        <w:rPr>
          <w:rFonts w:cs="宋体"/>
          <w:u w:val="single"/>
        </w:rPr>
      </w:pPr>
      <w:r>
        <w:rPr>
          <w:rFonts w:ascii="Times New Roman" w:hAnsi="Times New Roman" w:eastAsia="宋体"/>
          <w:lang w:bidi="ar"/>
        </w:rPr>
        <w:t>传真：</w:t>
      </w:r>
      <w:r>
        <w:rPr>
          <w:rFonts w:cs="宋体"/>
          <w:u w:val="single"/>
        </w:rPr>
        <w:t xml:space="preserve">   </w:t>
      </w:r>
      <w:r>
        <w:rPr>
          <w:rFonts w:hint="eastAsia" w:cs="宋体"/>
          <w:u w:val="single"/>
        </w:rPr>
        <w:t xml:space="preserve">                            </w:t>
      </w:r>
      <w:r>
        <w:rPr>
          <w:rFonts w:cs="宋体"/>
          <w:u w:val="single"/>
        </w:rPr>
        <w:t xml:space="preserve">   </w:t>
      </w:r>
    </w:p>
    <w:p>
      <w:pPr>
        <w:pStyle w:val="8"/>
        <w:widowControl/>
        <w:spacing w:beforeAutospacing="0" w:afterAutospacing="0" w:line="336" w:lineRule="auto"/>
        <w:rPr>
          <w:rFonts w:cs="宋体"/>
          <w:u w:val="single"/>
        </w:rPr>
      </w:pPr>
      <w:r>
        <w:rPr>
          <w:rFonts w:ascii="Times New Roman" w:hAnsi="Times New Roman" w:eastAsia="宋体"/>
          <w:lang w:bidi="ar"/>
        </w:rPr>
        <w:t>投标人代表性名、职务：</w:t>
      </w:r>
      <w:r>
        <w:rPr>
          <w:rFonts w:cs="宋体"/>
          <w:u w:val="single"/>
        </w:rPr>
        <w:t xml:space="preserve">   </w:t>
      </w:r>
      <w:r>
        <w:rPr>
          <w:rFonts w:hint="eastAsia" w:cs="宋体"/>
          <w:u w:val="single"/>
        </w:rPr>
        <w:t xml:space="preserve">                            </w:t>
      </w:r>
      <w:r>
        <w:rPr>
          <w:rFonts w:cs="宋体"/>
          <w:u w:val="single"/>
        </w:rPr>
        <w:t xml:space="preserve">   </w:t>
      </w:r>
      <w:r>
        <w:rPr>
          <w:rFonts w:ascii="Times New Roman" w:hAnsi="Times New Roman" w:eastAsia="宋体"/>
          <w:lang w:bidi="ar"/>
        </w:rPr>
        <w:br w:type="textWrapping"/>
      </w:r>
      <w:r>
        <w:rPr>
          <w:rFonts w:ascii="Times New Roman" w:hAnsi="Times New Roman" w:eastAsia="宋体"/>
          <w:lang w:bidi="ar"/>
        </w:rPr>
        <w:t>投标人名称（公章）：</w:t>
      </w:r>
      <w:r>
        <w:rPr>
          <w:rFonts w:cs="宋体"/>
          <w:u w:val="single"/>
        </w:rPr>
        <w:t xml:space="preserve">   </w:t>
      </w:r>
      <w:r>
        <w:rPr>
          <w:rFonts w:hint="eastAsia" w:cs="宋体"/>
          <w:u w:val="single"/>
        </w:rPr>
        <w:t xml:space="preserve">                            </w:t>
      </w:r>
      <w:r>
        <w:rPr>
          <w:rFonts w:cs="宋体"/>
          <w:u w:val="single"/>
        </w:rPr>
        <w:t xml:space="preserve">   </w:t>
      </w:r>
    </w:p>
    <w:p>
      <w:pPr>
        <w:pStyle w:val="8"/>
        <w:widowControl/>
        <w:spacing w:beforeAutospacing="0" w:afterAutospacing="0" w:line="336" w:lineRule="auto"/>
        <w:rPr>
          <w:rFonts w:ascii="Times New Roman" w:hAnsi="Times New Roman" w:eastAsia="宋体"/>
        </w:rPr>
      </w:pPr>
      <w:r>
        <w:rPr>
          <w:rFonts w:ascii="Times New Roman" w:hAnsi="Times New Roman" w:eastAsia="宋体"/>
          <w:lang w:bidi="ar"/>
        </w:rPr>
        <w:t>日期：</w:t>
      </w:r>
      <w:r>
        <w:rPr>
          <w:rFonts w:cs="宋体"/>
          <w:u w:val="single"/>
        </w:rPr>
        <w:t xml:space="preserve">   </w:t>
      </w:r>
      <w:r>
        <w:rPr>
          <w:rFonts w:hint="eastAsia" w:cs="宋体"/>
          <w:u w:val="single"/>
        </w:rPr>
        <w:t xml:space="preserve">     </w:t>
      </w:r>
      <w:r>
        <w:rPr>
          <w:rFonts w:ascii="Times New Roman" w:hAnsi="Times New Roman" w:eastAsia="宋体"/>
          <w:lang w:bidi="ar"/>
        </w:rPr>
        <w:t>年</w:t>
      </w:r>
      <w:r>
        <w:rPr>
          <w:rFonts w:cs="宋体"/>
          <w:u w:val="single"/>
        </w:rPr>
        <w:t xml:space="preserve">   </w:t>
      </w:r>
      <w:r>
        <w:rPr>
          <w:rFonts w:hint="eastAsia" w:cs="宋体"/>
          <w:u w:val="single"/>
        </w:rPr>
        <w:t xml:space="preserve">     </w:t>
      </w:r>
      <w:r>
        <w:rPr>
          <w:rFonts w:ascii="Times New Roman" w:hAnsi="Times New Roman" w:eastAsia="宋体"/>
          <w:lang w:bidi="ar"/>
        </w:rPr>
        <w:t>月</w:t>
      </w:r>
      <w:r>
        <w:rPr>
          <w:rFonts w:cs="宋体"/>
          <w:u w:val="single"/>
        </w:rPr>
        <w:t xml:space="preserve">   </w:t>
      </w:r>
      <w:r>
        <w:rPr>
          <w:rFonts w:hint="eastAsia" w:cs="宋体"/>
          <w:u w:val="single"/>
        </w:rPr>
        <w:t xml:space="preserve">     </w:t>
      </w:r>
      <w:r>
        <w:rPr>
          <w:rFonts w:ascii="Times New Roman" w:hAnsi="Times New Roman" w:eastAsia="宋体"/>
          <w:lang w:bidi="ar"/>
        </w:rPr>
        <w:t>日</w:t>
      </w:r>
    </w:p>
    <w:p>
      <w:pPr>
        <w:pStyle w:val="8"/>
        <w:widowControl/>
        <w:spacing w:beforeAutospacing="0" w:afterAutospacing="0" w:line="336" w:lineRule="auto"/>
        <w:rPr>
          <w:rFonts w:ascii="Times New Roman" w:hAnsi="Times New Roman" w:eastAsia="宋体"/>
        </w:rPr>
      </w:pPr>
      <w:r>
        <w:rPr>
          <w:rFonts w:ascii="Times New Roman" w:hAnsi="Times New Roman" w:eastAsia="宋体"/>
          <w:lang w:bidi="ar"/>
        </w:rPr>
        <w:t>全权代表签字：</w:t>
      </w:r>
      <w:r>
        <w:rPr>
          <w:rFonts w:cs="宋体"/>
          <w:u w:val="single"/>
        </w:rPr>
        <w:t xml:space="preserve">   </w:t>
      </w:r>
      <w:r>
        <w:rPr>
          <w:rFonts w:hint="eastAsia" w:cs="宋体"/>
          <w:u w:val="single"/>
        </w:rPr>
        <w:t xml:space="preserve">               </w:t>
      </w:r>
      <w:r>
        <w:rPr>
          <w:rFonts w:ascii="Times New Roman" w:hAnsi="Times New Roman" w:eastAsia="宋体"/>
          <w:lang w:bidi="ar"/>
        </w:rPr>
        <w:t xml:space="preserve"> </w:t>
      </w:r>
    </w:p>
    <w:p>
      <w:pPr>
        <w:pStyle w:val="8"/>
        <w:widowControl/>
        <w:spacing w:beforeAutospacing="0" w:afterAutospacing="0" w:line="360" w:lineRule="auto"/>
        <w:outlineLvl w:val="1"/>
        <w:rPr>
          <w:rFonts w:ascii="Times New Roman" w:hAnsi="Times New Roman" w:eastAsia="宋体"/>
        </w:rPr>
      </w:pPr>
      <w:bookmarkStart w:id="28" w:name="_Toc85016596"/>
      <w:bookmarkEnd w:id="28"/>
      <w:r>
        <w:rPr>
          <w:rFonts w:ascii="Times New Roman" w:hAnsi="Times New Roman" w:eastAsia="宋体"/>
          <w:b/>
          <w:bCs/>
          <w:lang w:bidi="ar"/>
        </w:rPr>
        <w:br w:type="page"/>
      </w:r>
      <w:bookmarkStart w:id="29" w:name="_Toc1259"/>
      <w:r>
        <w:rPr>
          <w:rFonts w:ascii="Times New Roman" w:hAnsi="Times New Roman" w:eastAsia="宋体"/>
          <w:b/>
          <w:bCs/>
          <w:lang w:bidi="ar"/>
        </w:rPr>
        <w:t>三、 投标设备报告</w:t>
      </w:r>
      <w:bookmarkEnd w:id="29"/>
    </w:p>
    <w:p>
      <w:pPr>
        <w:pStyle w:val="8"/>
        <w:widowControl/>
        <w:numPr>
          <w:ilvl w:val="0"/>
          <w:numId w:val="12"/>
        </w:numPr>
        <w:spacing w:beforeAutospacing="0" w:afterAutospacing="0" w:line="360" w:lineRule="auto"/>
        <w:rPr>
          <w:rFonts w:ascii="Times New Roman" w:hAnsi="Times New Roman" w:eastAsia="宋体"/>
          <w:lang w:bidi="ar"/>
        </w:rPr>
      </w:pPr>
      <w:r>
        <w:rPr>
          <w:rFonts w:ascii="Times New Roman" w:hAnsi="Times New Roman" w:eastAsia="宋体"/>
          <w:lang w:bidi="ar"/>
        </w:rPr>
        <w:t>投标设备型号、规格、技术参数和说明。</w:t>
      </w:r>
    </w:p>
    <w:p>
      <w:pPr>
        <w:pStyle w:val="8"/>
        <w:widowControl/>
        <w:numPr>
          <w:ilvl w:val="0"/>
          <w:numId w:val="12"/>
        </w:numPr>
        <w:spacing w:beforeAutospacing="0" w:afterAutospacing="0" w:line="360" w:lineRule="auto"/>
        <w:rPr>
          <w:rFonts w:ascii="Times New Roman" w:hAnsi="Times New Roman" w:eastAsia="宋体"/>
          <w:lang w:bidi="ar"/>
        </w:rPr>
      </w:pPr>
      <w:r>
        <w:rPr>
          <w:rFonts w:ascii="Times New Roman" w:hAnsi="Times New Roman" w:eastAsia="宋体"/>
          <w:lang w:bidi="ar"/>
        </w:rPr>
        <w:t>投标设备的质量标准、检测标准、测试手段。</w:t>
      </w:r>
    </w:p>
    <w:p>
      <w:pPr>
        <w:pStyle w:val="8"/>
        <w:widowControl/>
        <w:numPr>
          <w:ilvl w:val="0"/>
          <w:numId w:val="12"/>
        </w:numPr>
        <w:spacing w:beforeAutospacing="0" w:afterAutospacing="0" w:line="360" w:lineRule="auto"/>
        <w:rPr>
          <w:rFonts w:ascii="Times New Roman" w:hAnsi="Times New Roman" w:eastAsia="宋体"/>
          <w:lang w:bidi="ar"/>
        </w:rPr>
      </w:pPr>
      <w:r>
        <w:rPr>
          <w:rFonts w:ascii="Times New Roman" w:hAnsi="Times New Roman" w:eastAsia="宋体"/>
          <w:lang w:bidi="ar"/>
        </w:rPr>
        <w:t>对投标设备的设计、制造、安装、测试等方面采取技术和组织措施。</w:t>
      </w:r>
    </w:p>
    <w:p>
      <w:pPr>
        <w:pStyle w:val="8"/>
        <w:widowControl/>
        <w:numPr>
          <w:ilvl w:val="0"/>
          <w:numId w:val="12"/>
        </w:numPr>
        <w:spacing w:beforeAutospacing="0" w:afterAutospacing="0" w:line="360" w:lineRule="auto"/>
        <w:rPr>
          <w:rFonts w:ascii="Times New Roman" w:hAnsi="Times New Roman" w:eastAsia="宋体"/>
          <w:lang w:bidi="ar"/>
        </w:rPr>
      </w:pPr>
      <w:r>
        <w:rPr>
          <w:rFonts w:ascii="Times New Roman" w:hAnsi="Times New Roman" w:eastAsia="宋体"/>
          <w:lang w:bidi="ar"/>
        </w:rPr>
        <w:t>交货地点、交货时间、交货方式、交货进度及运输条件。</w:t>
      </w:r>
    </w:p>
    <w:p>
      <w:pPr>
        <w:pStyle w:val="8"/>
        <w:widowControl/>
        <w:numPr>
          <w:ilvl w:val="0"/>
          <w:numId w:val="12"/>
        </w:numPr>
        <w:spacing w:beforeAutospacing="0" w:afterAutospacing="0" w:line="360" w:lineRule="auto"/>
        <w:rPr>
          <w:rFonts w:ascii="Times New Roman" w:hAnsi="Times New Roman" w:eastAsia="宋体"/>
          <w:lang w:bidi="ar"/>
        </w:rPr>
      </w:pPr>
      <w:r>
        <w:rPr>
          <w:rFonts w:ascii="Times New Roman" w:hAnsi="Times New Roman" w:eastAsia="宋体"/>
          <w:lang w:bidi="ar"/>
        </w:rPr>
        <w:t>技术服务。</w:t>
      </w:r>
    </w:p>
    <w:p>
      <w:pPr>
        <w:pStyle w:val="8"/>
        <w:widowControl/>
        <w:numPr>
          <w:ilvl w:val="0"/>
          <w:numId w:val="12"/>
        </w:numPr>
        <w:spacing w:beforeAutospacing="0" w:afterAutospacing="0" w:line="360" w:lineRule="auto"/>
        <w:rPr>
          <w:rFonts w:ascii="Times New Roman" w:hAnsi="Times New Roman" w:eastAsia="宋体"/>
          <w:lang w:bidi="ar"/>
        </w:rPr>
      </w:pPr>
      <w:r>
        <w:rPr>
          <w:rFonts w:ascii="Times New Roman" w:hAnsi="Times New Roman" w:eastAsia="宋体"/>
          <w:lang w:bidi="ar"/>
        </w:rPr>
        <w:t>备品备件提供情况。</w:t>
      </w:r>
    </w:p>
    <w:p>
      <w:pPr>
        <w:pStyle w:val="8"/>
        <w:widowControl/>
        <w:numPr>
          <w:ilvl w:val="0"/>
          <w:numId w:val="12"/>
        </w:numPr>
        <w:spacing w:beforeAutospacing="0" w:afterAutospacing="0" w:line="360" w:lineRule="auto"/>
        <w:rPr>
          <w:rFonts w:ascii="Times New Roman" w:hAnsi="Times New Roman" w:eastAsia="宋体"/>
          <w:lang w:bidi="ar"/>
        </w:rPr>
      </w:pPr>
      <w:r>
        <w:rPr>
          <w:rFonts w:ascii="Times New Roman" w:hAnsi="Times New Roman" w:eastAsia="宋体"/>
          <w:lang w:bidi="ar"/>
        </w:rPr>
        <w:t>投标单位认为有必要说明的问题。</w:t>
      </w:r>
    </w:p>
    <w:p>
      <w:pPr>
        <w:pStyle w:val="8"/>
        <w:widowControl/>
        <w:spacing w:beforeAutospacing="0" w:afterAutospacing="0" w:line="312" w:lineRule="auto"/>
        <w:ind w:firstLine="480"/>
        <w:rPr>
          <w:rFonts w:ascii="Times New Roman" w:hAnsi="Times New Roman" w:eastAsia="宋体"/>
        </w:rPr>
      </w:pPr>
      <w:r>
        <w:rPr>
          <w:rFonts w:ascii="Times New Roman" w:hAnsi="Times New Roman" w:eastAsia="宋体"/>
          <w:lang w:bidi="ar"/>
        </w:rPr>
        <w:t xml:space="preserve"> </w:t>
      </w:r>
    </w:p>
    <w:p>
      <w:pPr>
        <w:pStyle w:val="8"/>
        <w:widowControl/>
        <w:spacing w:beforeAutospacing="0" w:afterAutospacing="0" w:line="312" w:lineRule="auto"/>
        <w:outlineLvl w:val="1"/>
        <w:rPr>
          <w:rFonts w:ascii="Times New Roman" w:hAnsi="Times New Roman" w:eastAsia="宋体"/>
        </w:rPr>
      </w:pPr>
      <w:bookmarkStart w:id="30" w:name="_Toc85016598"/>
      <w:bookmarkEnd w:id="30"/>
      <w:r>
        <w:rPr>
          <w:rFonts w:ascii="Times New Roman" w:hAnsi="Times New Roman" w:eastAsia="宋体"/>
          <w:b/>
          <w:bCs/>
          <w:lang w:bidi="ar"/>
        </w:rPr>
        <w:br w:type="page"/>
      </w:r>
      <w:bookmarkStart w:id="31" w:name="_Toc6299"/>
      <w:r>
        <w:rPr>
          <w:rFonts w:ascii="Times New Roman" w:hAnsi="Times New Roman" w:eastAsia="宋体"/>
          <w:b/>
          <w:bCs/>
          <w:lang w:bidi="ar"/>
        </w:rPr>
        <w:t>四、法人代表授权书</w:t>
      </w:r>
      <w:bookmarkEnd w:id="31"/>
    </w:p>
    <w:p>
      <w:pPr>
        <w:pStyle w:val="8"/>
        <w:widowControl/>
        <w:spacing w:beforeAutospacing="0" w:afterAutospacing="0" w:line="480" w:lineRule="auto"/>
        <w:jc w:val="center"/>
        <w:rPr>
          <w:rFonts w:ascii="Times New Roman" w:hAnsi="Times New Roman" w:eastAsia="宋体"/>
        </w:rPr>
      </w:pPr>
      <w:r>
        <w:rPr>
          <w:rFonts w:ascii="Times New Roman" w:hAnsi="Times New Roman" w:eastAsia="宋体"/>
          <w:b/>
          <w:bCs/>
          <w:lang w:bidi="ar"/>
        </w:rPr>
        <w:t>法人代表授权书</w:t>
      </w:r>
    </w:p>
    <w:p>
      <w:pPr>
        <w:pStyle w:val="8"/>
        <w:widowControl/>
        <w:spacing w:beforeAutospacing="0" w:afterAutospacing="0" w:line="480" w:lineRule="auto"/>
        <w:rPr>
          <w:rFonts w:ascii="Times New Roman" w:hAnsi="Times New Roman" w:eastAsia="宋体"/>
        </w:rPr>
      </w:pPr>
      <w:r>
        <w:rPr>
          <w:rFonts w:ascii="Times New Roman" w:hAnsi="Times New Roman" w:eastAsia="宋体"/>
          <w:lang w:bidi="ar"/>
        </w:rPr>
        <w:t>（招标机构）</w:t>
      </w:r>
      <w:r>
        <w:rPr>
          <w:rFonts w:cs="宋体"/>
          <w:u w:val="single"/>
        </w:rPr>
        <w:t xml:space="preserve">   </w:t>
      </w:r>
      <w:r>
        <w:rPr>
          <w:rFonts w:hint="eastAsia" w:cs="宋体"/>
          <w:u w:val="single"/>
        </w:rPr>
        <w:t xml:space="preserve">                  </w:t>
      </w:r>
      <w:r>
        <w:rPr>
          <w:rFonts w:ascii="Times New Roman" w:hAnsi="Times New Roman" w:eastAsia="宋体"/>
          <w:lang w:bidi="ar"/>
        </w:rPr>
        <w:t>：</w:t>
      </w:r>
    </w:p>
    <w:p>
      <w:pPr>
        <w:pStyle w:val="8"/>
        <w:widowControl/>
        <w:spacing w:beforeAutospacing="0" w:afterAutospacing="0" w:line="480" w:lineRule="auto"/>
        <w:ind w:firstLine="480" w:firstLineChars="200"/>
        <w:rPr>
          <w:rFonts w:cs="宋体"/>
          <w:u w:val="single"/>
        </w:rPr>
      </w:pPr>
      <w:r>
        <w:rPr>
          <w:rFonts w:ascii="Times New Roman" w:hAnsi="Times New Roman" w:eastAsia="宋体"/>
          <w:lang w:bidi="ar"/>
        </w:rPr>
        <w:t>现委派</w:t>
      </w:r>
      <w:r>
        <w:rPr>
          <w:rFonts w:cs="宋体"/>
          <w:u w:val="single"/>
        </w:rPr>
        <w:t xml:space="preserve">   </w:t>
      </w:r>
      <w:r>
        <w:rPr>
          <w:rFonts w:hint="eastAsia" w:cs="宋体"/>
          <w:u w:val="single"/>
        </w:rPr>
        <w:t xml:space="preserve">         </w:t>
      </w:r>
      <w:r>
        <w:rPr>
          <w:rFonts w:ascii="Times New Roman" w:hAnsi="Times New Roman" w:eastAsia="宋体"/>
          <w:lang w:bidi="ar"/>
        </w:rPr>
        <w:t>参加贵方组织的</w:t>
      </w:r>
      <w:r>
        <w:rPr>
          <w:rFonts w:cs="宋体"/>
          <w:u w:val="single"/>
        </w:rPr>
        <w:t xml:space="preserve">   </w:t>
      </w:r>
      <w:r>
        <w:rPr>
          <w:rFonts w:hint="eastAsia" w:cs="宋体"/>
          <w:u w:val="single"/>
        </w:rPr>
        <w:t xml:space="preserve">          </w:t>
      </w:r>
      <w:r>
        <w:rPr>
          <w:rFonts w:ascii="Times New Roman" w:hAnsi="Times New Roman" w:eastAsia="宋体"/>
          <w:lang w:bidi="ar"/>
        </w:rPr>
        <w:t>招标活动，全权代表我单位处理招标的有关事宜。</w:t>
      </w:r>
      <w:r>
        <w:rPr>
          <w:rFonts w:ascii="Times New Roman" w:hAnsi="Times New Roman" w:eastAsia="宋体"/>
          <w:lang w:bidi="ar"/>
        </w:rPr>
        <w:br w:type="textWrapping"/>
      </w:r>
      <w:r>
        <w:rPr>
          <w:rFonts w:ascii="Times New Roman" w:hAnsi="Times New Roman" w:eastAsia="宋体"/>
          <w:lang w:bidi="ar"/>
        </w:rPr>
        <w:t xml:space="preserve">  附授权代表情况：</w:t>
      </w:r>
      <w:r>
        <w:rPr>
          <w:rFonts w:ascii="Times New Roman" w:hAnsi="Times New Roman" w:eastAsia="宋体"/>
          <w:lang w:bidi="ar"/>
        </w:rPr>
        <w:br w:type="textWrapping"/>
      </w:r>
      <w:r>
        <w:rPr>
          <w:rFonts w:hint="eastAsia" w:ascii="Times New Roman" w:hAnsi="Times New Roman" w:eastAsia="宋体"/>
          <w:lang w:bidi="ar"/>
        </w:rPr>
        <w:tab/>
      </w:r>
      <w:r>
        <w:rPr>
          <w:rFonts w:ascii="Times New Roman" w:hAnsi="Times New Roman" w:eastAsia="宋体"/>
          <w:lang w:bidi="ar"/>
        </w:rPr>
        <w:t>姓  名：</w:t>
      </w:r>
      <w:r>
        <w:rPr>
          <w:rFonts w:cs="宋体"/>
          <w:u w:val="single"/>
        </w:rPr>
        <w:t xml:space="preserve">   </w:t>
      </w:r>
      <w:r>
        <w:rPr>
          <w:rFonts w:hint="eastAsia" w:cs="宋体"/>
          <w:u w:val="single"/>
        </w:rPr>
        <w:t xml:space="preserve">                </w:t>
      </w:r>
    </w:p>
    <w:p>
      <w:pPr>
        <w:pStyle w:val="8"/>
        <w:widowControl/>
        <w:spacing w:beforeAutospacing="0" w:afterAutospacing="0" w:line="480" w:lineRule="auto"/>
        <w:ind w:firstLine="420"/>
        <w:rPr>
          <w:rFonts w:cs="宋体"/>
          <w:u w:val="single"/>
        </w:rPr>
      </w:pPr>
      <w:r>
        <w:rPr>
          <w:rFonts w:ascii="Times New Roman" w:hAnsi="Times New Roman" w:eastAsia="宋体"/>
          <w:lang w:bidi="ar"/>
        </w:rPr>
        <w:t>身份证号：</w:t>
      </w:r>
      <w:r>
        <w:rPr>
          <w:rFonts w:cs="宋体"/>
          <w:u w:val="single"/>
        </w:rPr>
        <w:t xml:space="preserve">   </w:t>
      </w:r>
      <w:r>
        <w:rPr>
          <w:rFonts w:hint="eastAsia" w:cs="宋体"/>
          <w:u w:val="single"/>
        </w:rPr>
        <w:t xml:space="preserve">               </w:t>
      </w:r>
    </w:p>
    <w:p>
      <w:pPr>
        <w:pStyle w:val="8"/>
        <w:widowControl/>
        <w:spacing w:beforeAutospacing="0" w:afterAutospacing="0" w:line="480" w:lineRule="auto"/>
        <w:ind w:firstLine="420"/>
        <w:rPr>
          <w:rFonts w:cs="宋体"/>
          <w:u w:val="single"/>
        </w:rPr>
      </w:pPr>
      <w:r>
        <w:rPr>
          <w:rFonts w:ascii="Times New Roman" w:hAnsi="Times New Roman" w:eastAsia="宋体"/>
          <w:lang w:bidi="ar"/>
        </w:rPr>
        <w:t>职  务：</w:t>
      </w:r>
      <w:r>
        <w:rPr>
          <w:rFonts w:cs="宋体"/>
          <w:u w:val="single"/>
        </w:rPr>
        <w:t xml:space="preserve">   </w:t>
      </w:r>
      <w:r>
        <w:rPr>
          <w:rFonts w:hint="eastAsia" w:cs="宋体"/>
          <w:u w:val="single"/>
        </w:rPr>
        <w:t xml:space="preserve">                 </w:t>
      </w:r>
    </w:p>
    <w:p>
      <w:pPr>
        <w:pStyle w:val="8"/>
        <w:widowControl/>
        <w:spacing w:beforeAutospacing="0" w:afterAutospacing="0" w:line="480" w:lineRule="auto"/>
        <w:ind w:firstLine="420"/>
        <w:rPr>
          <w:rFonts w:cs="宋体"/>
          <w:u w:val="single"/>
        </w:rPr>
      </w:pPr>
      <w:r>
        <w:rPr>
          <w:rFonts w:ascii="Times New Roman" w:hAnsi="Times New Roman" w:eastAsia="宋体"/>
          <w:lang w:bidi="ar"/>
        </w:rPr>
        <w:t>通讯地址：</w:t>
      </w:r>
      <w:r>
        <w:rPr>
          <w:rFonts w:cs="宋体"/>
          <w:u w:val="single"/>
        </w:rPr>
        <w:t xml:space="preserve">   </w:t>
      </w:r>
      <w:r>
        <w:rPr>
          <w:rFonts w:hint="eastAsia" w:cs="宋体"/>
          <w:u w:val="single"/>
        </w:rPr>
        <w:t xml:space="preserve">               </w:t>
      </w:r>
    </w:p>
    <w:p>
      <w:pPr>
        <w:pStyle w:val="8"/>
        <w:widowControl/>
        <w:spacing w:beforeAutospacing="0" w:afterAutospacing="0" w:line="480" w:lineRule="auto"/>
        <w:ind w:firstLine="420"/>
        <w:rPr>
          <w:rFonts w:cs="宋体"/>
          <w:u w:val="single"/>
        </w:rPr>
      </w:pPr>
      <w:r>
        <w:rPr>
          <w:rFonts w:ascii="Times New Roman" w:hAnsi="Times New Roman" w:eastAsia="宋体"/>
          <w:lang w:bidi="ar"/>
        </w:rPr>
        <w:t>电  话：</w:t>
      </w:r>
      <w:r>
        <w:rPr>
          <w:rFonts w:cs="宋体"/>
          <w:u w:val="single"/>
        </w:rPr>
        <w:t xml:space="preserve">   </w:t>
      </w:r>
      <w:r>
        <w:rPr>
          <w:rFonts w:hint="eastAsia" w:cs="宋体"/>
          <w:u w:val="single"/>
        </w:rPr>
        <w:t xml:space="preserve">                 </w:t>
      </w:r>
    </w:p>
    <w:p>
      <w:pPr>
        <w:pStyle w:val="8"/>
        <w:widowControl/>
        <w:spacing w:beforeAutospacing="0" w:afterAutospacing="0" w:line="480" w:lineRule="auto"/>
        <w:ind w:firstLine="480" w:firstLineChars="200"/>
        <w:rPr>
          <w:rFonts w:ascii="Times New Roman" w:hAnsi="Times New Roman" w:eastAsia="宋体"/>
        </w:rPr>
      </w:pPr>
      <w:r>
        <w:rPr>
          <w:rFonts w:ascii="Times New Roman" w:hAnsi="Times New Roman" w:eastAsia="宋体"/>
          <w:lang w:bidi="ar"/>
        </w:rPr>
        <w:br w:type="textWrapping"/>
      </w:r>
      <w:r>
        <w:rPr>
          <w:rFonts w:ascii="Times New Roman" w:hAnsi="Times New Roman" w:eastAsia="宋体"/>
          <w:lang w:bidi="ar"/>
        </w:rPr>
        <w:t xml:space="preserve">                          单位名称： （公章）                 </w:t>
      </w:r>
    </w:p>
    <w:p>
      <w:pPr>
        <w:pStyle w:val="8"/>
        <w:widowControl/>
        <w:spacing w:beforeAutospacing="0" w:afterAutospacing="0" w:line="480" w:lineRule="auto"/>
        <w:ind w:firstLine="480" w:firstLineChars="200"/>
        <w:rPr>
          <w:rFonts w:ascii="Times New Roman" w:hAnsi="Times New Roman" w:eastAsia="宋体"/>
        </w:rPr>
      </w:pPr>
      <w:r>
        <w:rPr>
          <w:rFonts w:ascii="Times New Roman" w:hAnsi="Times New Roman" w:eastAsia="宋体"/>
          <w:lang w:bidi="ar"/>
        </w:rPr>
        <w:t xml:space="preserve">                       法人代表： （签章）</w:t>
      </w:r>
    </w:p>
    <w:p>
      <w:pPr>
        <w:pStyle w:val="8"/>
        <w:widowControl/>
        <w:spacing w:beforeAutospacing="0" w:afterAutospacing="0" w:line="480" w:lineRule="auto"/>
        <w:rPr>
          <w:rFonts w:ascii="Times New Roman" w:hAnsi="Times New Roman" w:eastAsia="宋体"/>
        </w:rPr>
      </w:pPr>
      <w:r>
        <w:rPr>
          <w:rFonts w:ascii="Times New Roman" w:hAnsi="Times New Roman" w:eastAsia="宋体"/>
          <w:lang w:bidi="ar"/>
        </w:rPr>
        <w:br w:type="textWrapping"/>
      </w:r>
      <w:r>
        <w:rPr>
          <w:rFonts w:ascii="Times New Roman" w:hAnsi="Times New Roman" w:eastAsia="宋体"/>
          <w:lang w:bidi="ar"/>
        </w:rPr>
        <w:t xml:space="preserve">  本授权书有效期：</w:t>
      </w:r>
      <w:r>
        <w:rPr>
          <w:rFonts w:hint="eastAsia" w:cs="宋体"/>
          <w:u w:val="single"/>
        </w:rPr>
        <w:t xml:space="preserve">        </w:t>
      </w:r>
      <w:r>
        <w:rPr>
          <w:rFonts w:ascii="Times New Roman" w:hAnsi="Times New Roman" w:eastAsia="宋体"/>
          <w:lang w:bidi="ar"/>
        </w:rPr>
        <w:t>年</w:t>
      </w:r>
      <w:r>
        <w:rPr>
          <w:rFonts w:hint="eastAsia" w:cs="宋体"/>
          <w:u w:val="single"/>
        </w:rPr>
        <w:t xml:space="preserve">    </w:t>
      </w:r>
      <w:r>
        <w:rPr>
          <w:rFonts w:ascii="Times New Roman" w:hAnsi="Times New Roman" w:eastAsia="宋体"/>
          <w:lang w:bidi="ar"/>
        </w:rPr>
        <w:t>月</w:t>
      </w:r>
      <w:r>
        <w:rPr>
          <w:rFonts w:hint="eastAsia" w:cs="宋体"/>
          <w:u w:val="single"/>
        </w:rPr>
        <w:t xml:space="preserve">     </w:t>
      </w:r>
      <w:r>
        <w:rPr>
          <w:rFonts w:ascii="Times New Roman" w:hAnsi="Times New Roman" w:eastAsia="宋体"/>
          <w:lang w:bidi="ar"/>
        </w:rPr>
        <w:t>日至</w:t>
      </w:r>
      <w:r>
        <w:rPr>
          <w:rFonts w:hint="eastAsia" w:cs="宋体"/>
          <w:u w:val="single"/>
        </w:rPr>
        <w:t xml:space="preserve">        </w:t>
      </w:r>
      <w:r>
        <w:rPr>
          <w:rFonts w:ascii="Times New Roman" w:hAnsi="Times New Roman" w:eastAsia="宋体"/>
          <w:lang w:bidi="ar"/>
        </w:rPr>
        <w:t>年</w:t>
      </w:r>
      <w:r>
        <w:rPr>
          <w:rFonts w:hint="eastAsia" w:cs="宋体"/>
          <w:u w:val="single"/>
        </w:rPr>
        <w:t xml:space="preserve">    </w:t>
      </w:r>
      <w:r>
        <w:rPr>
          <w:rFonts w:ascii="Times New Roman" w:hAnsi="Times New Roman" w:eastAsia="宋体"/>
          <w:lang w:bidi="ar"/>
        </w:rPr>
        <w:t>_月</w:t>
      </w:r>
      <w:r>
        <w:rPr>
          <w:rFonts w:hint="eastAsia" w:cs="宋体"/>
          <w:u w:val="single"/>
        </w:rPr>
        <w:t xml:space="preserve">    </w:t>
      </w:r>
      <w:r>
        <w:rPr>
          <w:rFonts w:ascii="Times New Roman" w:hAnsi="Times New Roman" w:eastAsia="宋体"/>
          <w:lang w:bidi="ar"/>
        </w:rPr>
        <w:t>日</w:t>
      </w:r>
    </w:p>
    <w:p>
      <w:pPr>
        <w:pStyle w:val="8"/>
        <w:widowControl/>
        <w:spacing w:beforeAutospacing="0" w:afterAutospacing="0" w:line="480" w:lineRule="auto"/>
        <w:rPr>
          <w:rFonts w:ascii="Times New Roman" w:hAnsi="Times New Roman" w:eastAsia="宋体"/>
          <w:b/>
          <w:bCs/>
        </w:rPr>
      </w:pPr>
      <w:r>
        <w:rPr>
          <w:rFonts w:ascii="Times New Roman" w:hAnsi="Times New Roman" w:eastAsia="宋体"/>
          <w:b/>
          <w:bCs/>
          <w:lang w:bidi="ar"/>
        </w:rPr>
        <w:t xml:space="preserve"> </w:t>
      </w:r>
    </w:p>
    <w:p>
      <w:pPr>
        <w:pStyle w:val="8"/>
        <w:widowControl/>
        <w:spacing w:line="312" w:lineRule="auto"/>
        <w:rPr>
          <w:rFonts w:ascii="Times New Roman" w:hAnsi="Times New Roman" w:eastAsia="宋体"/>
          <w:b/>
          <w:bCs/>
        </w:rPr>
      </w:pPr>
      <w:r>
        <w:rPr>
          <w:rStyle w:val="15"/>
          <w:rFonts w:ascii="Times New Roman" w:hAnsi="Times New Roman" w:eastAsia="宋体"/>
          <w:b/>
          <w:bCs/>
          <w:lang w:bidi="ar"/>
        </w:rPr>
        <w:t xml:space="preserve"> </w:t>
      </w:r>
    </w:p>
    <w:p>
      <w:pPr>
        <w:pStyle w:val="8"/>
        <w:widowControl/>
        <w:spacing w:line="312" w:lineRule="auto"/>
        <w:outlineLvl w:val="0"/>
        <w:rPr>
          <w:rFonts w:ascii="Times New Roman" w:hAnsi="Times New Roman" w:eastAsia="宋体"/>
          <w:b/>
          <w:bCs w:val="0"/>
        </w:rPr>
      </w:pPr>
      <w:r>
        <w:rPr>
          <w:rStyle w:val="15"/>
          <w:rFonts w:ascii="Times New Roman" w:hAnsi="Times New Roman" w:eastAsia="宋体"/>
          <w:b/>
          <w:bCs/>
          <w:lang w:bidi="ar"/>
        </w:rPr>
        <w:br w:type="page"/>
      </w:r>
      <w:bookmarkStart w:id="32" w:name="_Toc88754663"/>
      <w:bookmarkEnd w:id="32"/>
      <w:bookmarkStart w:id="33" w:name="_Toc21531"/>
      <w:r>
        <w:rPr>
          <w:rStyle w:val="15"/>
          <w:rFonts w:ascii="Times New Roman" w:hAnsi="Times New Roman" w:eastAsia="宋体"/>
          <w:b/>
          <w:bCs/>
          <w:lang w:bidi="ar"/>
        </w:rPr>
        <w:t>附件2</w:t>
      </w:r>
      <w:r>
        <w:rPr>
          <w:rStyle w:val="15"/>
          <w:rFonts w:hint="eastAsia" w:ascii="Times New Roman" w:hAnsi="Times New Roman" w:eastAsia="宋体"/>
          <w:b/>
          <w:bCs/>
          <w:lang w:val="en-US" w:eastAsia="zh-CN" w:bidi="ar"/>
        </w:rPr>
        <w:t xml:space="preserve">. </w:t>
      </w:r>
      <w:r>
        <w:rPr>
          <w:rFonts w:ascii="Times New Roman" w:hAnsi="Times New Roman" w:eastAsia="宋体"/>
          <w:b/>
          <w:bCs w:val="0"/>
          <w:lang w:bidi="ar"/>
        </w:rPr>
        <w:t>设备性能及参数要求</w:t>
      </w:r>
      <w:bookmarkEnd w:id="33"/>
    </w:p>
    <w:tbl>
      <w:tblPr>
        <w:tblStyle w:val="9"/>
        <w:tblW w:w="4903"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13"/>
        <w:gridCol w:w="1078"/>
        <w:gridCol w:w="1119"/>
        <w:gridCol w:w="52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78" w:hRule="atLeast"/>
        </w:trPr>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bookmarkStart w:id="34" w:name="_Toc21532"/>
            <w:r>
              <w:rPr>
                <w:rFonts w:hint="eastAsia" w:ascii="宋体" w:hAnsi="宋体" w:eastAsia="宋体" w:cs="宋体"/>
                <w:i w:val="0"/>
                <w:iCs w:val="0"/>
                <w:color w:val="000000"/>
                <w:kern w:val="0"/>
                <w:sz w:val="21"/>
                <w:szCs w:val="21"/>
                <w:u w:val="none"/>
                <w:lang w:val="en-US" w:eastAsia="zh-CN" w:bidi="ar"/>
              </w:rPr>
              <w:t>高端多功能酶标仪（吸收光</w:t>
            </w:r>
            <w:r>
              <w:rPr>
                <w:rStyle w:val="21"/>
                <w:rFonts w:eastAsia="宋体"/>
                <w:sz w:val="21"/>
                <w:szCs w:val="21"/>
                <w:lang w:val="en-US" w:eastAsia="zh-CN" w:bidi="ar"/>
              </w:rPr>
              <w:t>+</w:t>
            </w:r>
            <w:r>
              <w:rPr>
                <w:rStyle w:val="22"/>
                <w:sz w:val="21"/>
                <w:szCs w:val="21"/>
                <w:lang w:val="en-US" w:eastAsia="zh-CN" w:bidi="ar"/>
              </w:rPr>
              <w:t>荧光</w:t>
            </w:r>
            <w:r>
              <w:rPr>
                <w:rStyle w:val="21"/>
                <w:rFonts w:eastAsia="宋体"/>
                <w:sz w:val="21"/>
                <w:szCs w:val="21"/>
                <w:lang w:val="en-US" w:eastAsia="zh-CN" w:bidi="ar"/>
              </w:rPr>
              <w:t>+</w:t>
            </w:r>
            <w:r>
              <w:rPr>
                <w:rStyle w:val="22"/>
                <w:sz w:val="21"/>
                <w:szCs w:val="21"/>
                <w:lang w:val="en-US" w:eastAsia="zh-CN" w:bidi="ar"/>
              </w:rPr>
              <w:t>发光）</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1"/>
                <w:szCs w:val="21"/>
                <w:u w:val="none"/>
                <w:lang w:val="en-US"/>
              </w:rPr>
            </w:pPr>
            <w:r>
              <w:rPr>
                <w:rFonts w:hint="default" w:ascii="Times New Roman" w:hAnsi="Times New Roman" w:eastAsia="等线" w:cs="Times New Roman"/>
                <w:i w:val="0"/>
                <w:iCs w:val="0"/>
                <w:color w:val="000000"/>
                <w:kern w:val="0"/>
                <w:sz w:val="21"/>
                <w:szCs w:val="21"/>
                <w:u w:val="none"/>
                <w:lang w:val="en-US" w:eastAsia="zh-CN" w:bidi="ar"/>
              </w:rPr>
              <w:t>Synergy H1</w:t>
            </w:r>
            <w:r>
              <w:rPr>
                <w:rFonts w:hint="eastAsia" w:ascii="Times New Roman" w:hAnsi="Times New Roman" w:eastAsia="等线" w:cs="Times New Roman"/>
                <w:i w:val="0"/>
                <w:iCs w:val="0"/>
                <w:color w:val="000000"/>
                <w:kern w:val="0"/>
                <w:sz w:val="21"/>
                <w:szCs w:val="21"/>
                <w:u w:val="none"/>
                <w:lang w:val="en-US" w:eastAsia="zh-CN" w:bidi="ar"/>
              </w:rPr>
              <w:t xml:space="preserve"> </w:t>
            </w:r>
            <w:r>
              <w:rPr>
                <w:rFonts w:hint="eastAsia" w:ascii="Times New Roman" w:hAnsi="Times New Roman" w:eastAsia="等线" w:cs="Times New Roman"/>
                <w:i w:val="0"/>
                <w:iCs w:val="0"/>
                <w:color w:val="000000"/>
                <w:kern w:val="0"/>
                <w:sz w:val="21"/>
                <w:szCs w:val="21"/>
                <w:u w:val="none"/>
                <w:lang w:val="en-US" w:eastAsia="zh-CN" w:bidi="ar"/>
              </w:rPr>
              <w:br w:type="textWrapping"/>
            </w:r>
            <w:r>
              <w:rPr>
                <w:rFonts w:hint="eastAsia" w:ascii="Times New Roman" w:hAnsi="Times New Roman" w:eastAsia="等线" w:cs="Times New Roman"/>
                <w:i w:val="0"/>
                <w:iCs w:val="0"/>
                <w:color w:val="000000"/>
                <w:kern w:val="0"/>
                <w:sz w:val="21"/>
                <w:szCs w:val="21"/>
                <w:u w:val="none"/>
                <w:lang w:val="en-US" w:eastAsia="zh-CN" w:bidi="ar"/>
              </w:rPr>
              <w:t>（含电脑和</w:t>
            </w:r>
            <w:bookmarkStart w:id="62" w:name="_GoBack"/>
            <w:bookmarkEnd w:id="62"/>
            <w:r>
              <w:rPr>
                <w:rFonts w:hint="eastAsia" w:ascii="Times New Roman" w:hAnsi="Times New Roman" w:eastAsia="等线" w:cs="Times New Roman"/>
                <w:i w:val="0"/>
                <w:iCs w:val="0"/>
                <w:color w:val="000000"/>
                <w:kern w:val="0"/>
                <w:sz w:val="21"/>
                <w:szCs w:val="21"/>
                <w:u w:val="none"/>
                <w:lang w:val="en-US" w:eastAsia="zh-CN" w:bidi="ar"/>
              </w:rPr>
              <w:t>3Q验证）</w:t>
            </w:r>
          </w:p>
        </w:tc>
        <w:tc>
          <w:tcPr>
            <w:tcW w:w="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伯腾（</w:t>
            </w:r>
            <w:r>
              <w:rPr>
                <w:rStyle w:val="21"/>
                <w:rFonts w:eastAsia="宋体"/>
                <w:sz w:val="21"/>
                <w:szCs w:val="21"/>
                <w:lang w:val="en-US" w:eastAsia="zh-CN" w:bidi="ar"/>
              </w:rPr>
              <w:t>BioTek</w:t>
            </w:r>
            <w:r>
              <w:rPr>
                <w:rStyle w:val="22"/>
                <w:sz w:val="21"/>
                <w:szCs w:val="21"/>
                <w:lang w:val="en-US" w:eastAsia="zh-CN" w:bidi="ar"/>
              </w:rPr>
              <w:t>）</w:t>
            </w:r>
          </w:p>
        </w:tc>
        <w:tc>
          <w:tcPr>
            <w:tcW w:w="31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1"/>
                <w:szCs w:val="21"/>
                <w:u w:val="none"/>
              </w:rPr>
            </w:pPr>
            <w:r>
              <w:rPr>
                <w:rStyle w:val="22"/>
                <w:sz w:val="21"/>
                <w:szCs w:val="21"/>
                <w:lang w:val="en-US" w:eastAsia="zh-CN" w:bidi="ar"/>
              </w:rPr>
              <w:t>（</w:t>
            </w:r>
            <w:r>
              <w:rPr>
                <w:rStyle w:val="22"/>
                <w:rFonts w:hint="eastAsia"/>
                <w:sz w:val="21"/>
                <w:szCs w:val="21"/>
                <w:lang w:val="en-US" w:eastAsia="zh-CN" w:bidi="ar"/>
              </w:rPr>
              <w:t>1</w:t>
            </w:r>
            <w:r>
              <w:rPr>
                <w:rStyle w:val="22"/>
                <w:sz w:val="21"/>
                <w:szCs w:val="21"/>
                <w:lang w:val="en-US" w:eastAsia="zh-CN" w:bidi="ar"/>
              </w:rPr>
              <w:t>）荧光强度</w:t>
            </w:r>
            <w:r>
              <w:rPr>
                <w:rStyle w:val="21"/>
                <w:rFonts w:eastAsia="等线"/>
                <w:sz w:val="21"/>
                <w:szCs w:val="21"/>
                <w:lang w:val="en-US" w:eastAsia="zh-CN" w:bidi="ar"/>
              </w:rPr>
              <w:br w:type="textWrapping"/>
            </w:r>
            <w:r>
              <w:rPr>
                <w:rStyle w:val="22"/>
                <w:sz w:val="21"/>
                <w:szCs w:val="21"/>
                <w:lang w:val="en-US" w:eastAsia="zh-CN" w:bidi="ar"/>
              </w:rPr>
              <w:t>光源：高能氙闪灯</w:t>
            </w:r>
            <w:r>
              <w:rPr>
                <w:rStyle w:val="21"/>
                <w:rFonts w:eastAsia="等线"/>
                <w:sz w:val="21"/>
                <w:szCs w:val="21"/>
                <w:lang w:val="en-US" w:eastAsia="zh-CN" w:bidi="ar"/>
              </w:rPr>
              <w:br w:type="textWrapping"/>
            </w:r>
            <w:r>
              <w:rPr>
                <w:rStyle w:val="22"/>
                <w:sz w:val="21"/>
                <w:szCs w:val="21"/>
                <w:lang w:val="en-US" w:eastAsia="zh-CN" w:bidi="ar"/>
              </w:rPr>
              <w:t>波长范围：单色器</w:t>
            </w:r>
            <w:r>
              <w:rPr>
                <w:rStyle w:val="21"/>
                <w:rFonts w:eastAsia="等线"/>
                <w:sz w:val="21"/>
                <w:szCs w:val="21"/>
                <w:lang w:val="en-US" w:eastAsia="zh-CN" w:bidi="ar"/>
              </w:rPr>
              <w:t xml:space="preserve">: 250-700 nm( 900 nm </w:t>
            </w:r>
            <w:r>
              <w:rPr>
                <w:rStyle w:val="22"/>
                <w:sz w:val="21"/>
                <w:szCs w:val="21"/>
                <w:lang w:val="en-US" w:eastAsia="zh-CN" w:bidi="ar"/>
              </w:rPr>
              <w:t>可选</w:t>
            </w:r>
            <w:r>
              <w:rPr>
                <w:rStyle w:val="21"/>
                <w:rFonts w:eastAsia="等线"/>
                <w:sz w:val="21"/>
                <w:szCs w:val="21"/>
                <w:lang w:val="en-US" w:eastAsia="zh-CN" w:bidi="ar"/>
              </w:rPr>
              <w:t xml:space="preserve"> ); </w:t>
            </w:r>
            <w:r>
              <w:rPr>
                <w:rStyle w:val="22"/>
                <w:sz w:val="21"/>
                <w:szCs w:val="21"/>
                <w:lang w:val="en-US" w:eastAsia="zh-CN" w:bidi="ar"/>
              </w:rPr>
              <w:t>滤光片</w:t>
            </w:r>
            <w:r>
              <w:rPr>
                <w:rStyle w:val="21"/>
                <w:rFonts w:eastAsia="等线"/>
                <w:sz w:val="21"/>
                <w:szCs w:val="21"/>
                <w:lang w:val="en-US" w:eastAsia="zh-CN" w:bidi="ar"/>
              </w:rPr>
              <w:t xml:space="preserve">: 200-700 nm ( 900 nm </w:t>
            </w:r>
            <w:r>
              <w:rPr>
                <w:rStyle w:val="22"/>
                <w:sz w:val="21"/>
                <w:szCs w:val="21"/>
                <w:lang w:val="en-US" w:eastAsia="zh-CN" w:bidi="ar"/>
              </w:rPr>
              <w:t>可选</w:t>
            </w:r>
            <w:r>
              <w:rPr>
                <w:rStyle w:val="21"/>
                <w:rFonts w:eastAsia="等线"/>
                <w:sz w:val="21"/>
                <w:szCs w:val="21"/>
                <w:lang w:val="en-US" w:eastAsia="zh-CN" w:bidi="ar"/>
              </w:rPr>
              <w:t xml:space="preserve"> )</w:t>
            </w:r>
            <w:r>
              <w:rPr>
                <w:rStyle w:val="21"/>
                <w:rFonts w:eastAsia="等线"/>
                <w:sz w:val="21"/>
                <w:szCs w:val="21"/>
                <w:lang w:val="en-US" w:eastAsia="zh-CN" w:bidi="ar"/>
              </w:rPr>
              <w:br w:type="textWrapping"/>
            </w:r>
            <w:r>
              <w:rPr>
                <w:rStyle w:val="22"/>
                <w:sz w:val="21"/>
                <w:szCs w:val="21"/>
                <w:lang w:val="en-US" w:eastAsia="zh-CN" w:bidi="ar"/>
              </w:rPr>
              <w:t>顶部检测灵敏度：</w:t>
            </w:r>
            <w:r>
              <w:rPr>
                <w:rStyle w:val="21"/>
                <w:rFonts w:eastAsia="等线"/>
                <w:sz w:val="21"/>
                <w:szCs w:val="21"/>
                <w:lang w:val="en-US" w:eastAsia="zh-CN" w:bidi="ar"/>
              </w:rPr>
              <w:t xml:space="preserve"> </w:t>
            </w:r>
            <w:r>
              <w:rPr>
                <w:rStyle w:val="22"/>
                <w:sz w:val="21"/>
                <w:szCs w:val="21"/>
                <w:lang w:val="en-US" w:eastAsia="zh-CN" w:bidi="ar"/>
              </w:rPr>
              <w:t>单色器</w:t>
            </w:r>
            <w:r>
              <w:rPr>
                <w:rStyle w:val="21"/>
                <w:rFonts w:eastAsia="等线"/>
                <w:sz w:val="21"/>
                <w:szCs w:val="21"/>
                <w:lang w:val="en-US" w:eastAsia="zh-CN" w:bidi="ar"/>
              </w:rPr>
              <w:t xml:space="preserve">: 2.5 pM </w:t>
            </w:r>
            <w:r>
              <w:rPr>
                <w:rStyle w:val="22"/>
                <w:sz w:val="21"/>
                <w:szCs w:val="21"/>
                <w:lang w:val="en-US" w:eastAsia="zh-CN" w:bidi="ar"/>
              </w:rPr>
              <w:t>荧光素</w:t>
            </w:r>
            <w:r>
              <w:rPr>
                <w:rStyle w:val="21"/>
                <w:rFonts w:eastAsia="等线"/>
                <w:sz w:val="21"/>
                <w:szCs w:val="21"/>
                <w:lang w:val="en-US" w:eastAsia="zh-CN" w:bidi="ar"/>
              </w:rPr>
              <w:t xml:space="preserve"> ( 0.25 fmol/</w:t>
            </w:r>
            <w:r>
              <w:rPr>
                <w:rStyle w:val="22"/>
                <w:sz w:val="21"/>
                <w:szCs w:val="21"/>
                <w:lang w:val="en-US" w:eastAsia="zh-CN" w:bidi="ar"/>
              </w:rPr>
              <w:t>孔</w:t>
            </w:r>
            <w:r>
              <w:rPr>
                <w:rStyle w:val="21"/>
                <w:rFonts w:eastAsia="等线"/>
                <w:sz w:val="21"/>
                <w:szCs w:val="21"/>
                <w:lang w:val="en-US" w:eastAsia="zh-CN" w:bidi="ar"/>
              </w:rPr>
              <w:t xml:space="preserve"> 384</w:t>
            </w:r>
            <w:r>
              <w:rPr>
                <w:rStyle w:val="22"/>
                <w:sz w:val="21"/>
                <w:szCs w:val="21"/>
                <w:lang w:val="en-US" w:eastAsia="zh-CN" w:bidi="ar"/>
              </w:rPr>
              <w:t>孔板</w:t>
            </w:r>
            <w:r>
              <w:rPr>
                <w:rStyle w:val="21"/>
                <w:rFonts w:eastAsia="等线"/>
                <w:sz w:val="21"/>
                <w:szCs w:val="21"/>
                <w:lang w:val="en-US" w:eastAsia="zh-CN" w:bidi="ar"/>
              </w:rPr>
              <w:t xml:space="preserve"> )</w:t>
            </w:r>
            <w:r>
              <w:rPr>
                <w:rStyle w:val="21"/>
                <w:rFonts w:eastAsia="等线"/>
                <w:sz w:val="21"/>
                <w:szCs w:val="21"/>
                <w:lang w:val="en-US" w:eastAsia="zh-CN" w:bidi="ar"/>
              </w:rPr>
              <w:br w:type="textWrapping"/>
            </w:r>
            <w:r>
              <w:rPr>
                <w:rStyle w:val="22"/>
                <w:sz w:val="21"/>
                <w:szCs w:val="21"/>
                <w:lang w:val="en-US" w:eastAsia="zh-CN" w:bidi="ar"/>
              </w:rPr>
              <w:t>滤光片</w:t>
            </w:r>
            <w:r>
              <w:rPr>
                <w:rStyle w:val="21"/>
                <w:rFonts w:eastAsia="等线"/>
                <w:sz w:val="21"/>
                <w:szCs w:val="21"/>
                <w:lang w:val="en-US" w:eastAsia="zh-CN" w:bidi="ar"/>
              </w:rPr>
              <w:t xml:space="preserve">: 1 pM </w:t>
            </w:r>
            <w:r>
              <w:rPr>
                <w:rStyle w:val="22"/>
                <w:sz w:val="21"/>
                <w:szCs w:val="21"/>
                <w:lang w:val="en-US" w:eastAsia="zh-CN" w:bidi="ar"/>
              </w:rPr>
              <w:t>荧光素</w:t>
            </w:r>
            <w:r>
              <w:rPr>
                <w:rStyle w:val="21"/>
                <w:rFonts w:eastAsia="等线"/>
                <w:sz w:val="21"/>
                <w:szCs w:val="21"/>
                <w:lang w:val="en-US" w:eastAsia="zh-CN" w:bidi="ar"/>
              </w:rPr>
              <w:t xml:space="preserve"> ( 0.1 fmol/</w:t>
            </w:r>
            <w:r>
              <w:rPr>
                <w:rStyle w:val="22"/>
                <w:sz w:val="21"/>
                <w:szCs w:val="21"/>
                <w:lang w:val="en-US" w:eastAsia="zh-CN" w:bidi="ar"/>
              </w:rPr>
              <w:t>孔</w:t>
            </w:r>
            <w:r>
              <w:rPr>
                <w:rStyle w:val="21"/>
                <w:rFonts w:eastAsia="等线"/>
                <w:sz w:val="21"/>
                <w:szCs w:val="21"/>
                <w:lang w:val="en-US" w:eastAsia="zh-CN" w:bidi="ar"/>
              </w:rPr>
              <w:t xml:space="preserve"> 384</w:t>
            </w:r>
            <w:r>
              <w:rPr>
                <w:rStyle w:val="22"/>
                <w:sz w:val="21"/>
                <w:szCs w:val="21"/>
                <w:lang w:val="en-US" w:eastAsia="zh-CN" w:bidi="ar"/>
              </w:rPr>
              <w:t>孔板</w:t>
            </w:r>
            <w:r>
              <w:rPr>
                <w:rStyle w:val="21"/>
                <w:rFonts w:eastAsia="等线"/>
                <w:sz w:val="21"/>
                <w:szCs w:val="21"/>
                <w:lang w:val="en-US" w:eastAsia="zh-CN" w:bidi="ar"/>
              </w:rPr>
              <w:t xml:space="preserve"> )</w:t>
            </w:r>
            <w:r>
              <w:rPr>
                <w:rStyle w:val="21"/>
                <w:rFonts w:eastAsia="等线"/>
                <w:sz w:val="21"/>
                <w:szCs w:val="21"/>
                <w:lang w:val="en-US" w:eastAsia="zh-CN" w:bidi="ar"/>
              </w:rPr>
              <w:br w:type="textWrapping"/>
            </w:r>
            <w:r>
              <w:rPr>
                <w:rStyle w:val="22"/>
                <w:sz w:val="21"/>
                <w:szCs w:val="21"/>
                <w:lang w:val="en-US" w:eastAsia="zh-CN" w:bidi="ar"/>
              </w:rPr>
              <w:t>偏振：</w:t>
            </w:r>
            <w:r>
              <w:rPr>
                <w:rStyle w:val="21"/>
                <w:rFonts w:eastAsia="等线"/>
                <w:sz w:val="21"/>
                <w:szCs w:val="21"/>
                <w:lang w:val="en-US" w:eastAsia="zh-CN" w:bidi="ar"/>
              </w:rPr>
              <w:t>5mP</w:t>
            </w:r>
            <w:r>
              <w:rPr>
                <w:rStyle w:val="21"/>
                <w:rFonts w:eastAsia="等线"/>
                <w:sz w:val="21"/>
                <w:szCs w:val="21"/>
                <w:lang w:val="en-US" w:eastAsia="zh-CN" w:bidi="ar"/>
              </w:rPr>
              <w:br w:type="textWrapping"/>
            </w:r>
            <w:r>
              <w:rPr>
                <w:rStyle w:val="22"/>
                <w:sz w:val="21"/>
                <w:szCs w:val="21"/>
                <w:lang w:val="en-US" w:eastAsia="zh-CN" w:bidi="ar"/>
              </w:rPr>
              <w:t>时间分辨荧光：</w:t>
            </w:r>
            <w:r>
              <w:rPr>
                <w:rStyle w:val="21"/>
                <w:rFonts w:eastAsia="等线"/>
                <w:sz w:val="21"/>
                <w:szCs w:val="21"/>
                <w:lang w:val="en-US" w:eastAsia="zh-CN" w:bidi="ar"/>
              </w:rPr>
              <w:t>10amol</w:t>
            </w:r>
            <w:r>
              <w:rPr>
                <w:rStyle w:val="21"/>
                <w:rFonts w:eastAsia="等线"/>
                <w:sz w:val="21"/>
                <w:szCs w:val="21"/>
                <w:lang w:val="en-US" w:eastAsia="zh-CN" w:bidi="ar"/>
              </w:rPr>
              <w:br w:type="textWrapping"/>
            </w:r>
            <w:r>
              <w:rPr>
                <w:rStyle w:val="21"/>
                <w:rFonts w:hint="eastAsia" w:eastAsia="等线"/>
                <w:sz w:val="21"/>
                <w:szCs w:val="21"/>
                <w:lang w:val="en-US" w:eastAsia="zh-CN" w:bidi="ar"/>
              </w:rPr>
              <w:t>（2）</w:t>
            </w:r>
            <w:r>
              <w:rPr>
                <w:rStyle w:val="22"/>
                <w:sz w:val="21"/>
                <w:szCs w:val="21"/>
                <w:lang w:val="en-US" w:eastAsia="zh-CN" w:bidi="ar"/>
              </w:rPr>
              <w:t>发光</w:t>
            </w:r>
            <w:r>
              <w:rPr>
                <w:rStyle w:val="21"/>
                <w:rFonts w:eastAsia="等线"/>
                <w:sz w:val="21"/>
                <w:szCs w:val="21"/>
                <w:lang w:val="en-US" w:eastAsia="zh-CN" w:bidi="ar"/>
              </w:rPr>
              <w:br w:type="textWrapping"/>
            </w:r>
            <w:r>
              <w:rPr>
                <w:rStyle w:val="22"/>
                <w:sz w:val="21"/>
                <w:szCs w:val="21"/>
                <w:lang w:val="en-US" w:eastAsia="zh-CN" w:bidi="ar"/>
              </w:rPr>
              <w:t>波长范围：</w:t>
            </w:r>
            <w:r>
              <w:rPr>
                <w:rStyle w:val="21"/>
                <w:rFonts w:eastAsia="等线"/>
                <w:sz w:val="21"/>
                <w:szCs w:val="21"/>
                <w:lang w:val="en-US" w:eastAsia="zh-CN" w:bidi="ar"/>
              </w:rPr>
              <w:t>300-700 nm</w:t>
            </w:r>
            <w:r>
              <w:rPr>
                <w:rStyle w:val="21"/>
                <w:rFonts w:eastAsia="等线"/>
                <w:sz w:val="21"/>
                <w:szCs w:val="21"/>
                <w:lang w:val="en-US" w:eastAsia="zh-CN" w:bidi="ar"/>
              </w:rPr>
              <w:br w:type="textWrapping"/>
            </w:r>
            <w:r>
              <w:rPr>
                <w:rStyle w:val="22"/>
                <w:sz w:val="21"/>
                <w:szCs w:val="21"/>
                <w:lang w:val="en-US" w:eastAsia="zh-CN" w:bidi="ar"/>
              </w:rPr>
              <w:t>动态范围：</w:t>
            </w:r>
            <w:r>
              <w:rPr>
                <w:rStyle w:val="21"/>
                <w:rFonts w:eastAsia="等线"/>
                <w:sz w:val="21"/>
                <w:szCs w:val="21"/>
                <w:lang w:val="en-US" w:eastAsia="zh-CN" w:bidi="ar"/>
              </w:rPr>
              <w:t xml:space="preserve"> &gt; 6 </w:t>
            </w:r>
            <w:r>
              <w:rPr>
                <w:rStyle w:val="22"/>
                <w:sz w:val="21"/>
                <w:szCs w:val="21"/>
                <w:lang w:val="en-US" w:eastAsia="zh-CN" w:bidi="ar"/>
              </w:rPr>
              <w:t>个数量级</w:t>
            </w:r>
            <w:r>
              <w:rPr>
                <w:rStyle w:val="21"/>
                <w:rFonts w:eastAsia="等线"/>
                <w:sz w:val="21"/>
                <w:szCs w:val="21"/>
                <w:lang w:val="en-US" w:eastAsia="zh-CN" w:bidi="ar"/>
              </w:rPr>
              <w:br w:type="textWrapping"/>
            </w:r>
            <w:r>
              <w:rPr>
                <w:rStyle w:val="22"/>
                <w:sz w:val="21"/>
                <w:szCs w:val="21"/>
                <w:lang w:val="en-US" w:eastAsia="zh-CN" w:bidi="ar"/>
              </w:rPr>
              <w:t>灵敏度</w:t>
            </w:r>
            <w:r>
              <w:rPr>
                <w:rStyle w:val="21"/>
                <w:rFonts w:eastAsia="等线"/>
                <w:sz w:val="21"/>
                <w:szCs w:val="21"/>
                <w:lang w:val="en-US" w:eastAsia="zh-CN" w:bidi="ar"/>
              </w:rPr>
              <w:t>(ATP)</w:t>
            </w:r>
            <w:r>
              <w:rPr>
                <w:rStyle w:val="22"/>
                <w:sz w:val="21"/>
                <w:szCs w:val="21"/>
                <w:lang w:val="en-US" w:eastAsia="zh-CN" w:bidi="ar"/>
              </w:rPr>
              <w:t>：</w:t>
            </w:r>
            <w:r>
              <w:rPr>
                <w:rStyle w:val="21"/>
                <w:rFonts w:eastAsia="等线"/>
                <w:sz w:val="21"/>
                <w:szCs w:val="21"/>
                <w:lang w:val="en-US" w:eastAsia="zh-CN" w:bidi="ar"/>
              </w:rPr>
              <w:t xml:space="preserve"> </w:t>
            </w:r>
            <w:r>
              <w:rPr>
                <w:rStyle w:val="22"/>
                <w:sz w:val="21"/>
                <w:szCs w:val="21"/>
                <w:lang w:val="en-US" w:eastAsia="zh-CN" w:bidi="ar"/>
              </w:rPr>
              <w:t>光栅系统</w:t>
            </w:r>
            <w:r>
              <w:rPr>
                <w:rStyle w:val="21"/>
                <w:rFonts w:eastAsia="等线"/>
                <w:sz w:val="21"/>
                <w:szCs w:val="21"/>
                <w:lang w:val="en-US" w:eastAsia="zh-CN" w:bidi="ar"/>
              </w:rPr>
              <w:t>20 amol /</w:t>
            </w:r>
            <w:r>
              <w:rPr>
                <w:rStyle w:val="22"/>
                <w:sz w:val="21"/>
                <w:szCs w:val="21"/>
                <w:lang w:val="en-US" w:eastAsia="zh-CN" w:bidi="ar"/>
              </w:rPr>
              <w:t>孔</w:t>
            </w:r>
            <w:r>
              <w:rPr>
                <w:rStyle w:val="21"/>
                <w:rFonts w:eastAsia="等线"/>
                <w:sz w:val="21"/>
                <w:szCs w:val="21"/>
                <w:lang w:val="en-US" w:eastAsia="zh-CN" w:bidi="ar"/>
              </w:rPr>
              <w:t xml:space="preserve"> ATP</w:t>
            </w:r>
            <w:r>
              <w:rPr>
                <w:rStyle w:val="22"/>
                <w:sz w:val="21"/>
                <w:szCs w:val="21"/>
                <w:lang w:val="en-US" w:eastAsia="zh-CN" w:bidi="ar"/>
              </w:rPr>
              <w:t>闪光分析</w:t>
            </w:r>
            <w:r>
              <w:rPr>
                <w:rStyle w:val="21"/>
                <w:rFonts w:eastAsia="等线"/>
                <w:sz w:val="21"/>
                <w:szCs w:val="21"/>
                <w:lang w:val="en-US" w:eastAsia="zh-CN" w:bidi="ar"/>
              </w:rPr>
              <w:t xml:space="preserve"> ( 96</w:t>
            </w:r>
            <w:r>
              <w:rPr>
                <w:rStyle w:val="22"/>
                <w:sz w:val="21"/>
                <w:szCs w:val="21"/>
                <w:lang w:val="en-US" w:eastAsia="zh-CN" w:bidi="ar"/>
              </w:rPr>
              <w:t>孔</w:t>
            </w:r>
            <w:r>
              <w:rPr>
                <w:rStyle w:val="21"/>
                <w:rFonts w:eastAsia="等线"/>
                <w:sz w:val="21"/>
                <w:szCs w:val="21"/>
                <w:lang w:val="en-US" w:eastAsia="zh-CN" w:bidi="ar"/>
              </w:rPr>
              <w:t xml:space="preserve"> )</w:t>
            </w:r>
            <w:r>
              <w:rPr>
                <w:rStyle w:val="21"/>
                <w:rFonts w:eastAsia="等线"/>
                <w:sz w:val="21"/>
                <w:szCs w:val="21"/>
                <w:lang w:val="en-US" w:eastAsia="zh-CN" w:bidi="ar"/>
              </w:rPr>
              <w:br w:type="textWrapping"/>
            </w:r>
            <w:r>
              <w:rPr>
                <w:rStyle w:val="22"/>
                <w:sz w:val="21"/>
                <w:szCs w:val="21"/>
                <w:lang w:val="en-US" w:eastAsia="zh-CN" w:bidi="ar"/>
              </w:rPr>
              <w:t>滤光片系统</w:t>
            </w:r>
            <w:r>
              <w:rPr>
                <w:rStyle w:val="21"/>
                <w:rFonts w:eastAsia="等线"/>
                <w:sz w:val="21"/>
                <w:szCs w:val="21"/>
                <w:lang w:val="en-US" w:eastAsia="zh-CN" w:bidi="ar"/>
              </w:rPr>
              <w:t>10 amol /</w:t>
            </w:r>
            <w:r>
              <w:rPr>
                <w:rStyle w:val="22"/>
                <w:sz w:val="21"/>
                <w:szCs w:val="21"/>
                <w:lang w:val="en-US" w:eastAsia="zh-CN" w:bidi="ar"/>
              </w:rPr>
              <w:t>孔</w:t>
            </w:r>
            <w:r>
              <w:rPr>
                <w:rStyle w:val="21"/>
                <w:rFonts w:eastAsia="等线"/>
                <w:sz w:val="21"/>
                <w:szCs w:val="21"/>
                <w:lang w:val="en-US" w:eastAsia="zh-CN" w:bidi="ar"/>
              </w:rPr>
              <w:t xml:space="preserve"> ATP</w:t>
            </w:r>
            <w:r>
              <w:rPr>
                <w:rStyle w:val="22"/>
                <w:sz w:val="21"/>
                <w:szCs w:val="21"/>
                <w:lang w:val="en-US" w:eastAsia="zh-CN" w:bidi="ar"/>
              </w:rPr>
              <w:t>闪光分析</w:t>
            </w:r>
            <w:r>
              <w:rPr>
                <w:rStyle w:val="21"/>
                <w:rFonts w:eastAsia="等线"/>
                <w:sz w:val="21"/>
                <w:szCs w:val="21"/>
                <w:lang w:val="en-US" w:eastAsia="zh-CN" w:bidi="ar"/>
              </w:rPr>
              <w:t xml:space="preserve"> ( 96</w:t>
            </w:r>
            <w:r>
              <w:rPr>
                <w:rStyle w:val="22"/>
                <w:sz w:val="21"/>
                <w:szCs w:val="21"/>
                <w:lang w:val="en-US" w:eastAsia="zh-CN" w:bidi="ar"/>
              </w:rPr>
              <w:t>孔</w:t>
            </w:r>
            <w:r>
              <w:rPr>
                <w:rStyle w:val="21"/>
                <w:rFonts w:eastAsia="等线"/>
                <w:sz w:val="21"/>
                <w:szCs w:val="21"/>
                <w:lang w:val="en-US" w:eastAsia="zh-CN" w:bidi="ar"/>
              </w:rPr>
              <w:t xml:space="preserve"> )</w:t>
            </w:r>
            <w:r>
              <w:rPr>
                <w:rStyle w:val="21"/>
                <w:rFonts w:eastAsia="等线"/>
                <w:sz w:val="21"/>
                <w:szCs w:val="21"/>
                <w:lang w:val="en-US" w:eastAsia="zh-CN" w:bidi="ar"/>
              </w:rPr>
              <w:br w:type="textWrapping"/>
            </w:r>
            <w:r>
              <w:rPr>
                <w:rStyle w:val="22"/>
                <w:sz w:val="21"/>
                <w:szCs w:val="21"/>
                <w:lang w:val="en-US" w:eastAsia="zh-CN" w:bidi="ar"/>
              </w:rPr>
              <w:t>检测模式：闪光、辉光、发光扫描</w:t>
            </w:r>
            <w:r>
              <w:rPr>
                <w:rStyle w:val="21"/>
                <w:rFonts w:eastAsia="等线"/>
                <w:sz w:val="21"/>
                <w:szCs w:val="21"/>
                <w:lang w:val="en-US" w:eastAsia="zh-CN" w:bidi="ar"/>
              </w:rPr>
              <w:t>BRET</w:t>
            </w:r>
            <w:r>
              <w:rPr>
                <w:rStyle w:val="22"/>
                <w:sz w:val="21"/>
                <w:szCs w:val="21"/>
                <w:lang w:val="en-US" w:eastAsia="zh-CN" w:bidi="ar"/>
              </w:rPr>
              <w:t>等</w:t>
            </w:r>
            <w:r>
              <w:rPr>
                <w:rStyle w:val="21"/>
                <w:rFonts w:eastAsia="等线"/>
                <w:sz w:val="21"/>
                <w:szCs w:val="21"/>
                <w:lang w:val="en-US" w:eastAsia="zh-CN" w:bidi="ar"/>
              </w:rPr>
              <w:br w:type="textWrapping"/>
            </w:r>
            <w:r>
              <w:rPr>
                <w:rStyle w:val="22"/>
                <w:sz w:val="21"/>
                <w:szCs w:val="21"/>
                <w:lang w:val="en-US" w:eastAsia="zh-CN" w:bidi="ar"/>
              </w:rPr>
              <w:t>自动进样器：</w:t>
            </w:r>
            <w:r>
              <w:rPr>
                <w:rStyle w:val="21"/>
                <w:rFonts w:eastAsia="等线"/>
                <w:sz w:val="21"/>
                <w:szCs w:val="21"/>
                <w:lang w:val="en-US" w:eastAsia="zh-CN" w:bidi="ar"/>
              </w:rPr>
              <w:t>2</w:t>
            </w:r>
            <w:r>
              <w:rPr>
                <w:rStyle w:val="22"/>
                <w:sz w:val="21"/>
                <w:szCs w:val="21"/>
                <w:lang w:val="en-US" w:eastAsia="zh-CN" w:bidi="ar"/>
              </w:rPr>
              <w:t>个</w:t>
            </w:r>
            <w:r>
              <w:rPr>
                <w:rStyle w:val="21"/>
                <w:rFonts w:eastAsia="等线"/>
                <w:sz w:val="21"/>
                <w:szCs w:val="21"/>
                <w:lang w:val="en-US" w:eastAsia="zh-CN" w:bidi="ar"/>
              </w:rPr>
              <w:br w:type="textWrapping"/>
            </w:r>
            <w:r>
              <w:rPr>
                <w:rStyle w:val="21"/>
                <w:rFonts w:hint="eastAsia" w:eastAsia="等线"/>
                <w:sz w:val="21"/>
                <w:szCs w:val="21"/>
                <w:lang w:val="en-US" w:eastAsia="zh-CN" w:bidi="ar"/>
              </w:rPr>
              <w:t>（3）</w:t>
            </w:r>
            <w:r>
              <w:rPr>
                <w:rStyle w:val="22"/>
                <w:sz w:val="21"/>
                <w:szCs w:val="21"/>
                <w:lang w:val="en-US" w:eastAsia="zh-CN" w:bidi="ar"/>
              </w:rPr>
              <w:t>吸收光</w:t>
            </w:r>
            <w:r>
              <w:rPr>
                <w:rStyle w:val="21"/>
                <w:rFonts w:eastAsia="等线"/>
                <w:sz w:val="21"/>
                <w:szCs w:val="21"/>
                <w:lang w:val="en-US" w:eastAsia="zh-CN" w:bidi="ar"/>
              </w:rPr>
              <w:br w:type="textWrapping"/>
            </w:r>
            <w:r>
              <w:rPr>
                <w:rStyle w:val="22"/>
                <w:sz w:val="21"/>
                <w:szCs w:val="21"/>
                <w:lang w:val="en-US" w:eastAsia="zh-CN" w:bidi="ar"/>
              </w:rPr>
              <w:t>光源：高能量氙闪灯</w:t>
            </w:r>
            <w:r>
              <w:rPr>
                <w:rStyle w:val="21"/>
                <w:rFonts w:eastAsia="等线"/>
                <w:sz w:val="21"/>
                <w:szCs w:val="21"/>
                <w:lang w:val="en-US" w:eastAsia="zh-CN" w:bidi="ar"/>
              </w:rPr>
              <w:br w:type="textWrapping"/>
            </w:r>
            <w:r>
              <w:rPr>
                <w:rStyle w:val="22"/>
                <w:sz w:val="21"/>
                <w:szCs w:val="21"/>
                <w:lang w:val="en-US" w:eastAsia="zh-CN" w:bidi="ar"/>
              </w:rPr>
              <w:t>波长选择：双光栅单色器</w:t>
            </w:r>
            <w:r>
              <w:rPr>
                <w:rStyle w:val="21"/>
                <w:rFonts w:eastAsia="等线"/>
                <w:sz w:val="21"/>
                <w:szCs w:val="21"/>
                <w:lang w:val="en-US" w:eastAsia="zh-CN" w:bidi="ar"/>
              </w:rPr>
              <w:br w:type="textWrapping"/>
            </w:r>
            <w:r>
              <w:rPr>
                <w:rStyle w:val="22"/>
                <w:sz w:val="21"/>
                <w:szCs w:val="21"/>
                <w:lang w:val="en-US" w:eastAsia="zh-CN" w:bidi="ar"/>
              </w:rPr>
              <w:t>波长范围：</w:t>
            </w:r>
            <w:r>
              <w:rPr>
                <w:rStyle w:val="21"/>
                <w:rFonts w:eastAsia="等线"/>
                <w:sz w:val="21"/>
                <w:szCs w:val="21"/>
                <w:lang w:val="en-US" w:eastAsia="zh-CN" w:bidi="ar"/>
              </w:rPr>
              <w:t xml:space="preserve">230-999 nm, 1 nm </w:t>
            </w:r>
            <w:r>
              <w:rPr>
                <w:rStyle w:val="22"/>
                <w:sz w:val="21"/>
                <w:szCs w:val="21"/>
                <w:lang w:val="en-US" w:eastAsia="zh-CN" w:bidi="ar"/>
              </w:rPr>
              <w:t>步进</w:t>
            </w:r>
            <w:r>
              <w:rPr>
                <w:rStyle w:val="21"/>
                <w:rFonts w:eastAsia="等线"/>
                <w:sz w:val="21"/>
                <w:szCs w:val="21"/>
                <w:lang w:val="en-US" w:eastAsia="zh-CN" w:bidi="ar"/>
              </w:rPr>
              <w:br w:type="textWrapping"/>
            </w:r>
            <w:r>
              <w:rPr>
                <w:rStyle w:val="22"/>
                <w:sz w:val="21"/>
                <w:szCs w:val="21"/>
                <w:lang w:val="en-US" w:eastAsia="zh-CN" w:bidi="ar"/>
              </w:rPr>
              <w:t>检测模式：终点法，动力学法，波长扫描和微孔孔域扫描</w:t>
            </w:r>
            <w:r>
              <w:rPr>
                <w:rStyle w:val="21"/>
                <w:rFonts w:eastAsia="等线"/>
                <w:sz w:val="21"/>
                <w:szCs w:val="21"/>
                <w:lang w:val="en-US" w:eastAsia="zh-CN" w:bidi="ar"/>
              </w:rPr>
              <w:br w:type="textWrapping"/>
            </w:r>
            <w:r>
              <w:rPr>
                <w:rStyle w:val="22"/>
                <w:sz w:val="21"/>
                <w:szCs w:val="21"/>
                <w:lang w:val="en-US" w:eastAsia="zh-CN" w:bidi="ar"/>
              </w:rPr>
              <w:t>光路径校正：具备光路径长度校正功能，可将微孔板光路径长度转化为标准的</w:t>
            </w:r>
            <w:r>
              <w:rPr>
                <w:rStyle w:val="21"/>
                <w:rFonts w:eastAsia="等线"/>
                <w:sz w:val="21"/>
                <w:szCs w:val="21"/>
                <w:lang w:val="en-US" w:eastAsia="zh-CN" w:bidi="ar"/>
              </w:rPr>
              <w:t>1cm</w:t>
            </w:r>
            <w:r>
              <w:rPr>
                <w:rStyle w:val="22"/>
                <w:sz w:val="21"/>
                <w:szCs w:val="21"/>
                <w:lang w:val="en-US" w:eastAsia="zh-CN" w:bidi="ar"/>
              </w:rPr>
              <w:t>路径长度，校正误差，无须标准曲线即可准确定量可选配比色杯（光程</w:t>
            </w:r>
            <w:r>
              <w:rPr>
                <w:rStyle w:val="21"/>
                <w:rFonts w:eastAsia="等线"/>
                <w:sz w:val="21"/>
                <w:szCs w:val="21"/>
                <w:lang w:val="en-US" w:eastAsia="zh-CN" w:bidi="ar"/>
              </w:rPr>
              <w:t>1cm</w:t>
            </w:r>
            <w:r>
              <w:rPr>
                <w:rStyle w:val="22"/>
                <w:sz w:val="21"/>
                <w:szCs w:val="21"/>
                <w:lang w:val="en-US" w:eastAsia="zh-CN" w:bidi="ar"/>
              </w:rPr>
              <w:t>）：</w:t>
            </w:r>
            <w:r>
              <w:rPr>
                <w:rStyle w:val="21"/>
                <w:rFonts w:eastAsia="等线"/>
                <w:sz w:val="21"/>
                <w:szCs w:val="21"/>
                <w:lang w:val="en-US" w:eastAsia="zh-CN" w:bidi="ar"/>
              </w:rPr>
              <w:t>1</w:t>
            </w:r>
            <w:r>
              <w:rPr>
                <w:rStyle w:val="22"/>
                <w:sz w:val="21"/>
                <w:szCs w:val="21"/>
                <w:lang w:val="en-US" w:eastAsia="zh-CN" w:bidi="ar"/>
              </w:rPr>
              <w:t>－</w:t>
            </w:r>
            <w:r>
              <w:rPr>
                <w:rStyle w:val="21"/>
                <w:rFonts w:eastAsia="等线"/>
                <w:sz w:val="21"/>
                <w:szCs w:val="21"/>
                <w:lang w:val="en-US" w:eastAsia="zh-CN" w:bidi="ar"/>
              </w:rPr>
              <w:t>8</w:t>
            </w:r>
            <w:r>
              <w:rPr>
                <w:rStyle w:val="22"/>
                <w:sz w:val="21"/>
                <w:szCs w:val="21"/>
                <w:lang w:val="en-US" w:eastAsia="zh-CN" w:bidi="ar"/>
              </w:rPr>
              <w:t>个，兼容</w:t>
            </w:r>
            <w:r>
              <w:rPr>
                <w:rStyle w:val="21"/>
                <w:rFonts w:eastAsia="等线"/>
                <w:sz w:val="21"/>
                <w:szCs w:val="21"/>
                <w:lang w:val="en-US" w:eastAsia="zh-CN" w:bidi="ar"/>
              </w:rPr>
              <w:t>Take3</w:t>
            </w:r>
            <w:r>
              <w:rPr>
                <w:rStyle w:val="22"/>
                <w:sz w:val="21"/>
                <w:szCs w:val="21"/>
                <w:lang w:val="en-US" w:eastAsia="zh-CN" w:bidi="ar"/>
              </w:rPr>
              <w:t>超微量多体积检测板，可进行</w:t>
            </w:r>
            <w:r>
              <w:rPr>
                <w:rStyle w:val="21"/>
                <w:rFonts w:eastAsia="等线"/>
                <w:sz w:val="21"/>
                <w:szCs w:val="21"/>
                <w:lang w:val="en-US" w:eastAsia="zh-CN" w:bidi="ar"/>
              </w:rPr>
              <w:t>16</w:t>
            </w:r>
            <w:r>
              <w:rPr>
                <w:rStyle w:val="22"/>
                <w:sz w:val="21"/>
                <w:szCs w:val="21"/>
                <w:lang w:val="en-US" w:eastAsia="zh-CN" w:bidi="ar"/>
              </w:rPr>
              <w:t>个体积为</w:t>
            </w:r>
            <w:r>
              <w:rPr>
                <w:rStyle w:val="21"/>
                <w:rFonts w:eastAsia="等线"/>
                <w:sz w:val="21"/>
                <w:szCs w:val="21"/>
                <w:lang w:val="en-US" w:eastAsia="zh-CN" w:bidi="ar"/>
              </w:rPr>
              <w:t>2</w:t>
            </w:r>
            <w:r>
              <w:rPr>
                <w:rStyle w:val="23"/>
                <w:rFonts w:eastAsia="等线"/>
                <w:sz w:val="21"/>
                <w:szCs w:val="21"/>
                <w:lang w:val="en-US" w:eastAsia="zh-CN" w:bidi="ar"/>
              </w:rPr>
              <w:t>μ</w:t>
            </w:r>
            <w:r>
              <w:rPr>
                <w:rStyle w:val="21"/>
                <w:rFonts w:eastAsia="等线"/>
                <w:sz w:val="21"/>
                <w:szCs w:val="21"/>
                <w:lang w:val="en-US" w:eastAsia="zh-CN" w:bidi="ar"/>
              </w:rPr>
              <w:t>l</w:t>
            </w:r>
            <w:r>
              <w:rPr>
                <w:rStyle w:val="22"/>
                <w:sz w:val="21"/>
                <w:szCs w:val="21"/>
                <w:lang w:val="en-US" w:eastAsia="zh-CN" w:bidi="ar"/>
              </w:rPr>
              <w:t>的核酸蛋白定量、</w:t>
            </w:r>
            <w:r>
              <w:rPr>
                <w:rStyle w:val="21"/>
                <w:rFonts w:eastAsia="等线"/>
                <w:sz w:val="21"/>
                <w:szCs w:val="21"/>
                <w:lang w:val="en-US" w:eastAsia="zh-CN" w:bidi="ar"/>
              </w:rPr>
              <w:t>BioCell</w:t>
            </w:r>
            <w:r>
              <w:rPr>
                <w:rStyle w:val="22"/>
                <w:sz w:val="21"/>
                <w:szCs w:val="21"/>
                <w:lang w:val="en-US" w:eastAsia="zh-CN" w:bidi="ar"/>
              </w:rPr>
              <w:t>比色杯及标准比色杯的检测。</w:t>
            </w:r>
          </w:p>
        </w:tc>
      </w:tr>
    </w:tbl>
    <w:p>
      <w:pPr>
        <w:pStyle w:val="8"/>
        <w:widowControl/>
        <w:spacing w:line="312" w:lineRule="auto"/>
        <w:outlineLvl w:val="0"/>
        <w:rPr>
          <w:rFonts w:hint="eastAsia" w:ascii="Times New Roman" w:hAnsi="Times New Roman" w:eastAsia="宋体"/>
          <w:bCs/>
          <w:u w:val="single"/>
          <w:lang w:bidi="ar"/>
        </w:rPr>
      </w:pPr>
    </w:p>
    <w:bookmarkEnd w:id="34"/>
    <w:p>
      <w:pPr>
        <w:pStyle w:val="8"/>
        <w:widowControl/>
        <w:spacing w:line="312" w:lineRule="auto"/>
        <w:rPr>
          <w:rFonts w:ascii="Times New Roman" w:hAnsi="Times New Roman" w:eastAsia="宋体"/>
          <w:bCs/>
        </w:rPr>
      </w:pPr>
      <w:r>
        <w:rPr>
          <w:rFonts w:ascii="Times New Roman" w:hAnsi="Times New Roman" w:eastAsia="宋体"/>
          <w:bCs/>
          <w:lang w:bidi="ar"/>
        </w:rPr>
        <w:t xml:space="preserve"> </w:t>
      </w:r>
    </w:p>
    <w:p>
      <w:pPr>
        <w:pStyle w:val="8"/>
        <w:widowControl/>
        <w:spacing w:line="312" w:lineRule="auto"/>
        <w:rPr>
          <w:rFonts w:ascii="Times New Roman" w:hAnsi="Times New Roman" w:eastAsia="宋体"/>
          <w:bCs/>
        </w:rPr>
      </w:pPr>
      <w:r>
        <w:rPr>
          <w:rFonts w:ascii="Times New Roman" w:hAnsi="Times New Roman" w:eastAsia="宋体"/>
          <w:bCs/>
          <w:lang w:bidi="ar"/>
        </w:rPr>
        <w:t xml:space="preserve"> </w:t>
      </w:r>
    </w:p>
    <w:p>
      <w:pPr>
        <w:pStyle w:val="8"/>
        <w:widowControl/>
        <w:spacing w:line="312" w:lineRule="auto"/>
        <w:rPr>
          <w:rFonts w:ascii="Times New Roman" w:hAnsi="Times New Roman" w:eastAsia="宋体"/>
          <w:bCs/>
        </w:rPr>
      </w:pPr>
      <w:r>
        <w:rPr>
          <w:rFonts w:ascii="Times New Roman" w:hAnsi="Times New Roman" w:eastAsia="宋体"/>
          <w:bCs/>
          <w:lang w:bidi="ar"/>
        </w:rPr>
        <w:t xml:space="preserve"> </w:t>
      </w:r>
    </w:p>
    <w:p>
      <w:pPr>
        <w:pStyle w:val="8"/>
        <w:widowControl/>
        <w:spacing w:line="312" w:lineRule="auto"/>
        <w:rPr>
          <w:rFonts w:ascii="Times New Roman" w:hAnsi="Times New Roman" w:eastAsia="宋体"/>
          <w:bCs/>
        </w:rPr>
      </w:pPr>
      <w:r>
        <w:rPr>
          <w:rFonts w:ascii="Times New Roman" w:hAnsi="Times New Roman" w:eastAsia="宋体"/>
          <w:bCs/>
          <w:lang w:bidi="ar"/>
        </w:rPr>
        <w:t xml:space="preserve"> </w:t>
      </w:r>
    </w:p>
    <w:p>
      <w:pPr>
        <w:pStyle w:val="8"/>
        <w:widowControl/>
        <w:spacing w:line="312" w:lineRule="auto"/>
        <w:rPr>
          <w:rFonts w:ascii="Times New Roman" w:hAnsi="Times New Roman" w:eastAsia="宋体"/>
          <w:bCs/>
        </w:rPr>
      </w:pPr>
      <w:r>
        <w:rPr>
          <w:rFonts w:ascii="Times New Roman" w:hAnsi="Times New Roman" w:eastAsia="宋体"/>
          <w:bCs/>
          <w:lang w:bidi="ar"/>
        </w:rPr>
        <w:t xml:space="preserve"> </w:t>
      </w:r>
    </w:p>
    <w:p>
      <w:pPr>
        <w:widowControl/>
        <w:spacing w:line="312" w:lineRule="auto"/>
        <w:jc w:val="left"/>
        <w:rPr>
          <w:rFonts w:ascii="Times New Roman" w:hAnsi="Times New Roman" w:eastAsia="宋体"/>
        </w:rPr>
      </w:pPr>
      <w:bookmarkStart w:id="35" w:name="_Toc85016600"/>
      <w:bookmarkEnd w:id="35"/>
      <w:r>
        <w:rPr>
          <w:rStyle w:val="15"/>
          <w:rFonts w:ascii="Times New Roman" w:hAnsi="Times New Roman" w:eastAsia="宋体"/>
          <w:b/>
          <w:bCs/>
          <w:lang w:bidi="ar"/>
        </w:rPr>
        <w:br w:type="page"/>
      </w:r>
      <w:bookmarkStart w:id="36" w:name="_Toc88754664"/>
      <w:bookmarkEnd w:id="36"/>
      <w:bookmarkStart w:id="37" w:name="_Toc14857"/>
      <w:r>
        <w:rPr>
          <w:rStyle w:val="15"/>
          <w:rFonts w:ascii="Times New Roman" w:hAnsi="Times New Roman" w:eastAsia="宋体"/>
          <w:b/>
          <w:bCs/>
          <w:lang w:bidi="ar"/>
        </w:rPr>
        <w:t>附件3</w:t>
      </w:r>
      <w:r>
        <w:rPr>
          <w:rStyle w:val="15"/>
          <w:rFonts w:hint="eastAsia" w:ascii="Times New Roman" w:hAnsi="Times New Roman" w:eastAsia="宋体"/>
          <w:b/>
          <w:bCs/>
          <w:lang w:val="en-US" w:eastAsia="zh-CN" w:bidi="ar"/>
        </w:rPr>
        <w:t xml:space="preserve">. </w:t>
      </w:r>
      <w:r>
        <w:rPr>
          <w:rStyle w:val="15"/>
          <w:rFonts w:ascii="Times New Roman" w:hAnsi="Times New Roman" w:eastAsia="宋体"/>
          <w:b/>
          <w:bCs/>
          <w:lang w:bidi="ar"/>
        </w:rPr>
        <w:t>合同基本条款（可使用公司的标准模板）</w:t>
      </w:r>
      <w:bookmarkEnd w:id="37"/>
    </w:p>
    <w:p>
      <w:pPr>
        <w:pStyle w:val="8"/>
        <w:widowControl/>
        <w:spacing w:beforeAutospacing="0" w:afterAutospacing="0" w:line="360" w:lineRule="auto"/>
        <w:outlineLvl w:val="0"/>
        <w:rPr>
          <w:rFonts w:ascii="Times New Roman" w:hAnsi="Times New Roman" w:eastAsia="宋体"/>
        </w:rPr>
      </w:pPr>
      <w:bookmarkStart w:id="38" w:name="_Toc85016601"/>
      <w:bookmarkEnd w:id="38"/>
      <w:bookmarkStart w:id="39" w:name="_Toc7720"/>
      <w:r>
        <w:rPr>
          <w:rFonts w:ascii="Times New Roman" w:hAnsi="Times New Roman" w:eastAsia="宋体"/>
          <w:b/>
          <w:bCs/>
          <w:lang w:bidi="ar"/>
        </w:rPr>
        <w:t>一、 说明</w:t>
      </w:r>
      <w:bookmarkEnd w:id="39"/>
    </w:p>
    <w:p>
      <w:pPr>
        <w:pStyle w:val="8"/>
        <w:widowControl/>
        <w:numPr>
          <w:ilvl w:val="0"/>
          <w:numId w:val="13"/>
        </w:numPr>
        <w:spacing w:beforeAutospacing="0" w:afterAutospacing="0" w:line="360" w:lineRule="auto"/>
        <w:rPr>
          <w:rFonts w:ascii="Times New Roman" w:hAnsi="Times New Roman" w:eastAsia="宋体"/>
        </w:rPr>
      </w:pPr>
      <w:r>
        <w:rPr>
          <w:rFonts w:ascii="Times New Roman" w:hAnsi="Times New Roman" w:eastAsia="宋体"/>
          <w:lang w:bidi="ar"/>
        </w:rPr>
        <w:t>合同基本条款是指设备需方（以下简称甲方）和中标方（以下简称乙方）应共同遵守的基本原则，并作为双方签约的依据。对于合同的其他条款，双方应本着互谅互让的精神，在谈判中协商解决。</w:t>
      </w:r>
    </w:p>
    <w:p>
      <w:pPr>
        <w:pStyle w:val="8"/>
        <w:widowControl/>
        <w:numPr>
          <w:ilvl w:val="0"/>
          <w:numId w:val="13"/>
        </w:numPr>
        <w:spacing w:beforeAutospacing="0" w:afterAutospacing="0" w:line="360" w:lineRule="auto"/>
        <w:rPr>
          <w:rFonts w:ascii="Times New Roman" w:hAnsi="Times New Roman" w:eastAsia="宋体"/>
        </w:rPr>
      </w:pPr>
      <w:r>
        <w:rPr>
          <w:rFonts w:ascii="Times New Roman" w:hAnsi="Times New Roman" w:eastAsia="宋体"/>
          <w:lang w:bidi="ar"/>
        </w:rPr>
        <w:t>制定"合同基本条款"的依据是《中华人民共和国经济合同法》。</w:t>
      </w:r>
    </w:p>
    <w:p>
      <w:pPr>
        <w:pStyle w:val="8"/>
        <w:widowControl/>
        <w:spacing w:beforeAutospacing="0" w:afterAutospacing="0" w:line="360" w:lineRule="auto"/>
        <w:outlineLvl w:val="0"/>
        <w:rPr>
          <w:rFonts w:ascii="Times New Roman" w:hAnsi="Times New Roman" w:eastAsia="宋体"/>
        </w:rPr>
      </w:pPr>
      <w:bookmarkStart w:id="40" w:name="_Toc85016602"/>
      <w:bookmarkEnd w:id="40"/>
      <w:bookmarkStart w:id="41" w:name="_Toc6411"/>
      <w:r>
        <w:rPr>
          <w:rFonts w:ascii="Times New Roman" w:hAnsi="Times New Roman" w:eastAsia="宋体"/>
          <w:b/>
          <w:bCs/>
          <w:lang w:bidi="ar"/>
        </w:rPr>
        <w:t>二、 设备条款</w:t>
      </w:r>
      <w:bookmarkEnd w:id="41"/>
    </w:p>
    <w:p>
      <w:pPr>
        <w:pStyle w:val="8"/>
        <w:widowControl/>
        <w:spacing w:beforeAutospacing="0" w:afterAutospacing="0" w:line="360" w:lineRule="auto"/>
        <w:rPr>
          <w:rFonts w:ascii="Times New Roman" w:hAnsi="Times New Roman" w:eastAsia="宋体"/>
        </w:rPr>
      </w:pPr>
      <w:r>
        <w:rPr>
          <w:rFonts w:ascii="Times New Roman" w:hAnsi="Times New Roman" w:eastAsia="宋体"/>
          <w:lang w:bidi="ar"/>
        </w:rPr>
        <w:t xml:space="preserve">  甲、乙双方应招标文件、投标文件及评标委员会确认的设备技术要求、质量标准、数量和交货日期等作为本条款的基础。</w:t>
      </w:r>
    </w:p>
    <w:p>
      <w:pPr>
        <w:pStyle w:val="8"/>
        <w:widowControl/>
        <w:spacing w:beforeAutospacing="0" w:afterAutospacing="0" w:line="360" w:lineRule="auto"/>
        <w:outlineLvl w:val="0"/>
        <w:rPr>
          <w:rFonts w:ascii="Times New Roman" w:hAnsi="Times New Roman" w:eastAsia="宋体"/>
        </w:rPr>
      </w:pPr>
      <w:bookmarkStart w:id="42" w:name="_Toc85016603"/>
      <w:bookmarkEnd w:id="42"/>
      <w:bookmarkStart w:id="43" w:name="_Toc14291"/>
      <w:r>
        <w:rPr>
          <w:rFonts w:ascii="Times New Roman" w:hAnsi="Times New Roman" w:eastAsia="宋体"/>
          <w:b/>
          <w:bCs/>
          <w:lang w:bidi="ar"/>
        </w:rPr>
        <w:t>三、 技术资料</w:t>
      </w:r>
      <w:bookmarkEnd w:id="43"/>
    </w:p>
    <w:p>
      <w:pPr>
        <w:pStyle w:val="8"/>
        <w:widowControl/>
        <w:numPr>
          <w:ilvl w:val="0"/>
          <w:numId w:val="14"/>
        </w:numPr>
        <w:spacing w:beforeAutospacing="0" w:afterAutospacing="0" w:line="360" w:lineRule="auto"/>
        <w:rPr>
          <w:rFonts w:ascii="Times New Roman" w:hAnsi="Times New Roman" w:eastAsia="宋体"/>
          <w:lang w:bidi="ar"/>
        </w:rPr>
      </w:pPr>
      <w:r>
        <w:rPr>
          <w:rFonts w:ascii="Times New Roman" w:hAnsi="Times New Roman" w:eastAsia="宋体"/>
          <w:lang w:bidi="ar"/>
        </w:rPr>
        <w:t>甲方应项乙方提供所购设备、配套设备、所属装置等有关技术资料。</w:t>
      </w:r>
    </w:p>
    <w:p>
      <w:pPr>
        <w:pStyle w:val="8"/>
        <w:widowControl/>
        <w:numPr>
          <w:ilvl w:val="0"/>
          <w:numId w:val="14"/>
        </w:numPr>
        <w:spacing w:beforeAutospacing="0" w:afterAutospacing="0" w:line="360" w:lineRule="auto"/>
        <w:rPr>
          <w:rFonts w:ascii="Times New Roman" w:hAnsi="Times New Roman" w:eastAsia="宋体"/>
          <w:lang w:bidi="ar"/>
        </w:rPr>
      </w:pPr>
      <w:r>
        <w:rPr>
          <w:rFonts w:ascii="Times New Roman" w:hAnsi="Times New Roman" w:eastAsia="宋体"/>
          <w:lang w:bidi="ar"/>
        </w:rPr>
        <w:t>乙方应按合同规定的时间向甲方提供用于土建施工、设备安装、调试的有关技术资料。</w:t>
      </w:r>
    </w:p>
    <w:p>
      <w:pPr>
        <w:pStyle w:val="8"/>
        <w:widowControl/>
        <w:spacing w:beforeAutospacing="0" w:afterAutospacing="0" w:line="360" w:lineRule="auto"/>
        <w:outlineLvl w:val="0"/>
        <w:rPr>
          <w:rFonts w:ascii="Times New Roman" w:hAnsi="Times New Roman" w:eastAsia="宋体"/>
        </w:rPr>
      </w:pPr>
      <w:bookmarkStart w:id="44" w:name="_Toc85016604"/>
      <w:bookmarkEnd w:id="44"/>
      <w:bookmarkStart w:id="45" w:name="_Toc23958"/>
      <w:r>
        <w:rPr>
          <w:rFonts w:ascii="Times New Roman" w:hAnsi="Times New Roman" w:eastAsia="宋体"/>
          <w:b/>
          <w:bCs/>
          <w:lang w:bidi="ar"/>
        </w:rPr>
        <w:t>四、 质量保证</w:t>
      </w:r>
      <w:bookmarkEnd w:id="45"/>
    </w:p>
    <w:p>
      <w:pPr>
        <w:pStyle w:val="8"/>
        <w:widowControl/>
        <w:numPr>
          <w:ilvl w:val="0"/>
          <w:numId w:val="15"/>
        </w:numPr>
        <w:spacing w:beforeAutospacing="0" w:afterAutospacing="0" w:line="360" w:lineRule="auto"/>
        <w:rPr>
          <w:rFonts w:ascii="Times New Roman" w:hAnsi="Times New Roman" w:eastAsia="宋体"/>
        </w:rPr>
      </w:pPr>
      <w:r>
        <w:rPr>
          <w:rFonts w:ascii="Times New Roman" w:hAnsi="Times New Roman" w:eastAsia="宋体"/>
          <w:lang w:bidi="ar"/>
        </w:rPr>
        <w:t>乙方应按合同规定的设备性能、质量标准向甲方提供未经使用的全新设备</w:t>
      </w:r>
      <w:r>
        <w:rPr>
          <w:rFonts w:hint="eastAsia" w:ascii="Times New Roman" w:hAnsi="Times New Roman" w:eastAsia="宋体"/>
          <w:lang w:bidi="ar"/>
        </w:rPr>
        <w:t>。</w:t>
      </w:r>
    </w:p>
    <w:p>
      <w:pPr>
        <w:pStyle w:val="8"/>
        <w:widowControl/>
        <w:numPr>
          <w:ilvl w:val="0"/>
          <w:numId w:val="15"/>
        </w:numPr>
        <w:spacing w:beforeAutospacing="0" w:afterAutospacing="0" w:line="360" w:lineRule="auto"/>
        <w:rPr>
          <w:rFonts w:ascii="Times New Roman" w:hAnsi="Times New Roman" w:eastAsia="宋体"/>
        </w:rPr>
      </w:pPr>
      <w:r>
        <w:rPr>
          <w:rFonts w:ascii="Times New Roman" w:hAnsi="Times New Roman" w:eastAsia="宋体"/>
          <w:lang w:bidi="ar"/>
        </w:rPr>
        <w:t>乙方提供设备的质量保证期为现场安装验收合格之后12个月。如甲方不能及时安装，最长不超过自到货之日起3个月。在保证期内因设备本身的质量问题发生故障，乙方应负责免费修理和更换零部件。对达不到使用要求者，经双方协商，可按以下办法处理：</w:t>
      </w:r>
    </w:p>
    <w:p>
      <w:pPr>
        <w:pStyle w:val="8"/>
        <w:widowControl/>
        <w:numPr>
          <w:ilvl w:val="0"/>
          <w:numId w:val="16"/>
        </w:numPr>
        <w:spacing w:beforeAutospacing="0" w:afterAutospacing="0" w:line="360" w:lineRule="auto"/>
        <w:rPr>
          <w:rFonts w:ascii="Times New Roman" w:hAnsi="Times New Roman" w:eastAsia="宋体"/>
        </w:rPr>
      </w:pPr>
      <w:r>
        <w:rPr>
          <w:rFonts w:cs="宋体"/>
        </w:rPr>
        <w:t>退货处理：乙方应退回甲方支付的设备款，同时应承担该设备的直接费用（运输、保险、检验、安装调试、设备款利息及银行手续费等）。</w:t>
      </w:r>
    </w:p>
    <w:p>
      <w:pPr>
        <w:pStyle w:val="8"/>
        <w:widowControl/>
        <w:numPr>
          <w:ilvl w:val="0"/>
          <w:numId w:val="16"/>
        </w:numPr>
        <w:spacing w:beforeAutospacing="0" w:afterAutospacing="0" w:line="360" w:lineRule="auto"/>
        <w:rPr>
          <w:rFonts w:ascii="Times New Roman" w:hAnsi="Times New Roman" w:eastAsia="宋体"/>
        </w:rPr>
      </w:pPr>
      <w:r>
        <w:rPr>
          <w:rFonts w:cs="宋体"/>
        </w:rPr>
        <w:t>更换设备：由乙方承担所发生的直接费用。</w:t>
      </w:r>
    </w:p>
    <w:p>
      <w:pPr>
        <w:pStyle w:val="8"/>
        <w:widowControl/>
        <w:numPr>
          <w:ilvl w:val="0"/>
          <w:numId w:val="16"/>
        </w:numPr>
        <w:spacing w:beforeAutospacing="0" w:afterAutospacing="0" w:line="360" w:lineRule="auto"/>
        <w:rPr>
          <w:rFonts w:ascii="Times New Roman" w:hAnsi="Times New Roman" w:eastAsia="宋体"/>
        </w:rPr>
      </w:pPr>
      <w:r>
        <w:rPr>
          <w:rFonts w:cs="宋体"/>
        </w:rPr>
        <w:t>贬值处理。</w:t>
      </w:r>
    </w:p>
    <w:p>
      <w:pPr>
        <w:pStyle w:val="8"/>
        <w:widowControl/>
        <w:numPr>
          <w:ilvl w:val="0"/>
          <w:numId w:val="15"/>
        </w:numPr>
        <w:spacing w:beforeAutospacing="0" w:afterAutospacing="0" w:line="360" w:lineRule="auto"/>
        <w:rPr>
          <w:rFonts w:ascii="Times New Roman" w:hAnsi="Times New Roman" w:eastAsia="宋体"/>
        </w:rPr>
      </w:pPr>
      <w:r>
        <w:rPr>
          <w:rFonts w:ascii="Times New Roman" w:hAnsi="Times New Roman" w:eastAsia="宋体"/>
          <w:lang w:bidi="ar"/>
        </w:rPr>
        <w:t>在设备调试阶段，根据甲方要求，乙方应及时派出现场服务人员，处理现场发生的有关质量技术问题，免费派人指导安装调试。在使用过程中如发生质量问题，乙方在接到甲方通知后应在24小时内达到甲方现场。</w:t>
      </w:r>
    </w:p>
    <w:p>
      <w:pPr>
        <w:pStyle w:val="8"/>
        <w:widowControl/>
        <w:spacing w:beforeAutospacing="0" w:afterAutospacing="0" w:line="360" w:lineRule="auto"/>
        <w:outlineLvl w:val="0"/>
        <w:rPr>
          <w:rFonts w:ascii="Times New Roman" w:hAnsi="Times New Roman" w:eastAsia="宋体"/>
          <w:lang w:bidi="ar"/>
        </w:rPr>
      </w:pPr>
      <w:bookmarkStart w:id="46" w:name="_Toc85016605"/>
      <w:bookmarkEnd w:id="46"/>
      <w:bookmarkStart w:id="47" w:name="_Toc5288"/>
      <w:r>
        <w:rPr>
          <w:rFonts w:ascii="Times New Roman" w:hAnsi="Times New Roman" w:eastAsia="宋体"/>
          <w:b/>
          <w:bCs/>
          <w:lang w:bidi="ar"/>
        </w:rPr>
        <w:t>五、 验收</w:t>
      </w:r>
      <w:bookmarkEnd w:id="47"/>
    </w:p>
    <w:p>
      <w:pPr>
        <w:pStyle w:val="8"/>
        <w:widowControl/>
        <w:numPr>
          <w:ilvl w:val="0"/>
          <w:numId w:val="17"/>
        </w:numPr>
        <w:spacing w:beforeAutospacing="0" w:afterAutospacing="0" w:line="360" w:lineRule="auto"/>
        <w:rPr>
          <w:rFonts w:ascii="Times New Roman" w:hAnsi="Times New Roman" w:eastAsia="宋体"/>
        </w:rPr>
      </w:pPr>
      <w:r>
        <w:rPr>
          <w:rFonts w:ascii="Times New Roman" w:hAnsi="Times New Roman" w:eastAsia="宋体"/>
          <w:lang w:bidi="ar"/>
        </w:rPr>
        <w:t>乙方交货前应按合同规定的检验方法，作出全面检测。其记录附在质量证明书内。但有关质量、规格、性能、数量或重量的检测不应视为最终检测。乙方检验的结果和详细要求应在质量证明书中加以说明。</w:t>
      </w:r>
    </w:p>
    <w:p>
      <w:pPr>
        <w:pStyle w:val="8"/>
        <w:widowControl/>
        <w:numPr>
          <w:ilvl w:val="0"/>
          <w:numId w:val="17"/>
        </w:numPr>
        <w:spacing w:beforeAutospacing="0" w:afterAutospacing="0" w:line="360" w:lineRule="auto"/>
        <w:rPr>
          <w:rFonts w:ascii="Times New Roman" w:hAnsi="Times New Roman" w:eastAsia="宋体"/>
        </w:rPr>
      </w:pPr>
      <w:r>
        <w:rPr>
          <w:rFonts w:ascii="Times New Roman" w:hAnsi="Times New Roman" w:eastAsia="宋体"/>
          <w:lang w:bidi="ar"/>
        </w:rPr>
        <w:t>对重要关键设备，按合同规定由甲方负责，甲乙方共同验收。对一般设备，由甲方验收。设备到货后，甲方应于60天日内验收完毕，验收不合格，乙方无条件退、换货，并承担搬运、运输等费用，同时按延迟交货约定处理。</w:t>
      </w:r>
    </w:p>
    <w:p>
      <w:pPr>
        <w:pStyle w:val="8"/>
        <w:widowControl/>
        <w:spacing w:beforeAutospacing="0" w:afterAutospacing="0" w:line="360" w:lineRule="auto"/>
        <w:outlineLvl w:val="0"/>
        <w:rPr>
          <w:rFonts w:ascii="Times New Roman" w:hAnsi="Times New Roman" w:eastAsia="宋体"/>
        </w:rPr>
      </w:pPr>
      <w:bookmarkStart w:id="48" w:name="_Toc85016606"/>
      <w:bookmarkEnd w:id="48"/>
      <w:bookmarkStart w:id="49" w:name="_Toc10831"/>
      <w:r>
        <w:rPr>
          <w:rFonts w:ascii="Times New Roman" w:hAnsi="Times New Roman" w:eastAsia="宋体"/>
          <w:b/>
          <w:bCs/>
          <w:lang w:bidi="ar"/>
        </w:rPr>
        <w:t>六、 设备发运、包装及运输</w:t>
      </w:r>
      <w:bookmarkEnd w:id="49"/>
    </w:p>
    <w:p>
      <w:pPr>
        <w:pStyle w:val="8"/>
        <w:widowControl/>
        <w:numPr>
          <w:ilvl w:val="0"/>
          <w:numId w:val="18"/>
        </w:numPr>
        <w:spacing w:beforeAutospacing="0" w:afterAutospacing="0" w:line="360" w:lineRule="auto"/>
        <w:rPr>
          <w:rFonts w:ascii="Times New Roman" w:hAnsi="Times New Roman" w:eastAsia="宋体"/>
          <w:lang w:bidi="ar"/>
        </w:rPr>
      </w:pPr>
      <w:r>
        <w:rPr>
          <w:rFonts w:ascii="Times New Roman" w:hAnsi="Times New Roman" w:eastAsia="宋体"/>
          <w:lang w:bidi="ar"/>
        </w:rPr>
        <w:t>乙方在交货前将合同号、设备名称、数量、件数等用电报或传真等通知甲方</w:t>
      </w:r>
      <w:r>
        <w:rPr>
          <w:rFonts w:hint="eastAsia" w:ascii="Times New Roman" w:hAnsi="Times New Roman" w:eastAsia="宋体"/>
          <w:lang w:bidi="ar"/>
        </w:rPr>
        <w:t>。</w:t>
      </w:r>
    </w:p>
    <w:p>
      <w:pPr>
        <w:pStyle w:val="8"/>
        <w:widowControl/>
        <w:numPr>
          <w:ilvl w:val="0"/>
          <w:numId w:val="18"/>
        </w:numPr>
        <w:spacing w:beforeAutospacing="0" w:afterAutospacing="0" w:line="360" w:lineRule="auto"/>
        <w:rPr>
          <w:rFonts w:ascii="Times New Roman" w:hAnsi="Times New Roman" w:eastAsia="宋体"/>
          <w:lang w:bidi="ar"/>
        </w:rPr>
      </w:pPr>
      <w:r>
        <w:rPr>
          <w:rFonts w:ascii="Times New Roman" w:hAnsi="Times New Roman" w:eastAsia="宋体"/>
          <w:lang w:bidi="ar"/>
        </w:rPr>
        <w:t>设备在运输中因包装不善造成的锈蚀、破损、丢失等均由乙方承担责任。包装箱外应用不褪色的油漆，按规定达上清楚的包装标志。对无包装的设备应系有金属标答。对重量超过2吨以上的货物，应表明中心所在位置。</w:t>
      </w:r>
    </w:p>
    <w:p>
      <w:pPr>
        <w:pStyle w:val="8"/>
        <w:widowControl/>
        <w:numPr>
          <w:ilvl w:val="0"/>
          <w:numId w:val="18"/>
        </w:numPr>
        <w:spacing w:beforeAutospacing="0" w:afterAutospacing="0" w:line="360" w:lineRule="auto"/>
        <w:rPr>
          <w:rFonts w:ascii="Times New Roman" w:hAnsi="Times New Roman" w:eastAsia="宋体"/>
          <w:lang w:bidi="ar"/>
        </w:rPr>
      </w:pPr>
      <w:r>
        <w:rPr>
          <w:rFonts w:ascii="Times New Roman" w:hAnsi="Times New Roman" w:eastAsia="宋体"/>
          <w:lang w:bidi="ar"/>
        </w:rPr>
        <w:t>运杂费由乙方承担。</w:t>
      </w:r>
    </w:p>
    <w:p>
      <w:pPr>
        <w:pStyle w:val="8"/>
        <w:widowControl/>
        <w:numPr>
          <w:ilvl w:val="0"/>
          <w:numId w:val="19"/>
        </w:numPr>
        <w:spacing w:beforeAutospacing="0" w:afterAutospacing="0" w:line="360" w:lineRule="auto"/>
        <w:outlineLvl w:val="0"/>
        <w:rPr>
          <w:rFonts w:ascii="Times New Roman" w:hAnsi="Times New Roman" w:eastAsia="宋体"/>
          <w:b/>
          <w:bCs/>
        </w:rPr>
      </w:pPr>
      <w:bookmarkStart w:id="50" w:name="_Toc85016607"/>
      <w:bookmarkEnd w:id="50"/>
      <w:bookmarkStart w:id="51" w:name="_Toc23801"/>
      <w:r>
        <w:rPr>
          <w:rFonts w:ascii="Times New Roman" w:hAnsi="Times New Roman" w:eastAsia="宋体"/>
          <w:b/>
          <w:bCs/>
          <w:lang w:bidi="ar"/>
        </w:rPr>
        <w:t>交货期、交货地点及交货方式</w:t>
      </w:r>
      <w:bookmarkEnd w:id="51"/>
    </w:p>
    <w:p>
      <w:pPr>
        <w:pStyle w:val="8"/>
        <w:widowControl/>
        <w:spacing w:beforeAutospacing="0" w:afterAutospacing="0" w:line="360" w:lineRule="auto"/>
        <w:ind w:firstLine="480" w:firstLineChars="200"/>
        <w:rPr>
          <w:rFonts w:ascii="Times New Roman" w:hAnsi="Times New Roman" w:eastAsia="宋体"/>
        </w:rPr>
      </w:pPr>
      <w:r>
        <w:rPr>
          <w:rFonts w:ascii="Times New Roman" w:hAnsi="Times New Roman" w:eastAsia="宋体"/>
          <w:lang w:bidi="ar"/>
        </w:rPr>
        <w:t>交货期及交货地点：参见招标邀请第4和第5条。</w:t>
      </w:r>
    </w:p>
    <w:p>
      <w:pPr>
        <w:pStyle w:val="8"/>
        <w:widowControl/>
        <w:spacing w:beforeAutospacing="0" w:afterAutospacing="0" w:line="360" w:lineRule="auto"/>
        <w:ind w:firstLine="480" w:firstLineChars="200"/>
        <w:rPr>
          <w:rFonts w:ascii="Times New Roman" w:hAnsi="Times New Roman" w:eastAsia="宋体"/>
        </w:rPr>
      </w:pPr>
      <w:r>
        <w:rPr>
          <w:rFonts w:ascii="Times New Roman" w:hAnsi="Times New Roman" w:eastAsia="宋体"/>
          <w:lang w:bidi="ar"/>
        </w:rPr>
        <w:t>交货方式：完税后交货。卖方须将备好的货物在买方指定地点交付，而且承担将货物运至指定地点的一切费用和风险，并办理进口结关。</w:t>
      </w:r>
    </w:p>
    <w:p>
      <w:pPr>
        <w:pStyle w:val="8"/>
        <w:widowControl/>
        <w:numPr>
          <w:ilvl w:val="0"/>
          <w:numId w:val="19"/>
        </w:numPr>
        <w:spacing w:beforeAutospacing="0" w:afterAutospacing="0" w:line="360" w:lineRule="auto"/>
        <w:outlineLvl w:val="0"/>
        <w:rPr>
          <w:rFonts w:ascii="Times New Roman" w:hAnsi="Times New Roman" w:eastAsia="宋体"/>
          <w:b/>
          <w:bCs/>
          <w:lang w:bidi="ar"/>
        </w:rPr>
      </w:pPr>
      <w:bookmarkStart w:id="52" w:name="_Toc85016608"/>
      <w:bookmarkEnd w:id="52"/>
      <w:bookmarkStart w:id="53" w:name="_Toc15760"/>
      <w:r>
        <w:rPr>
          <w:rFonts w:ascii="Times New Roman" w:hAnsi="Times New Roman" w:eastAsia="宋体"/>
          <w:b/>
          <w:bCs/>
          <w:lang w:bidi="ar"/>
        </w:rPr>
        <w:t>付款方式</w:t>
      </w:r>
      <w:bookmarkEnd w:id="53"/>
      <w:bookmarkStart w:id="54" w:name="_Toc85016609"/>
      <w:bookmarkEnd w:id="54"/>
    </w:p>
    <w:p>
      <w:pPr>
        <w:pStyle w:val="8"/>
        <w:widowControl/>
        <w:numPr>
          <w:ilvl w:val="0"/>
          <w:numId w:val="20"/>
        </w:numPr>
        <w:spacing w:beforeAutospacing="0" w:afterAutospacing="0" w:line="360" w:lineRule="auto"/>
        <w:rPr>
          <w:rFonts w:ascii="Times New Roman" w:hAnsi="Times New Roman" w:eastAsia="宋体"/>
        </w:rPr>
      </w:pPr>
      <w:r>
        <w:rPr>
          <w:rFonts w:ascii="Times New Roman" w:hAnsi="Times New Roman" w:eastAsia="宋体"/>
          <w:lang w:bidi="ar"/>
        </w:rPr>
        <w:t>合同签订之日起7个工作日内向乙方支付30%预付款，设备安装完毕后，由乙方负责人验收、确认后的7个工作日内支付剩下70%尾款。</w:t>
      </w:r>
    </w:p>
    <w:p>
      <w:pPr>
        <w:pStyle w:val="8"/>
        <w:widowControl/>
        <w:numPr>
          <w:ilvl w:val="0"/>
          <w:numId w:val="20"/>
        </w:numPr>
        <w:spacing w:beforeAutospacing="0" w:afterAutospacing="0" w:line="360" w:lineRule="auto"/>
        <w:rPr>
          <w:rFonts w:ascii="Times New Roman" w:hAnsi="Times New Roman" w:eastAsia="宋体"/>
        </w:rPr>
      </w:pPr>
      <w:r>
        <w:rPr>
          <w:rFonts w:ascii="Times New Roman" w:hAnsi="Times New Roman" w:eastAsia="宋体"/>
          <w:lang w:bidi="ar"/>
        </w:rPr>
        <w:t>乙方在向甲方交货后、办理货款结算支付前，必须向甲方提交所供产品的全额增值税专用发票。乙方向甲方提交的票据必须符合国家税票管理的要求。</w:t>
      </w:r>
    </w:p>
    <w:p>
      <w:pPr>
        <w:pStyle w:val="8"/>
        <w:widowControl/>
        <w:numPr>
          <w:ilvl w:val="0"/>
          <w:numId w:val="19"/>
        </w:numPr>
        <w:spacing w:beforeAutospacing="0" w:afterAutospacing="0" w:line="360" w:lineRule="auto"/>
        <w:outlineLvl w:val="0"/>
        <w:rPr>
          <w:rFonts w:ascii="Times New Roman" w:hAnsi="Times New Roman" w:eastAsia="宋体"/>
          <w:b/>
          <w:bCs/>
          <w:lang w:bidi="ar"/>
        </w:rPr>
      </w:pPr>
      <w:bookmarkStart w:id="55" w:name="_Toc30648"/>
      <w:r>
        <w:rPr>
          <w:rFonts w:ascii="Times New Roman" w:hAnsi="Times New Roman" w:eastAsia="宋体"/>
          <w:b/>
          <w:bCs/>
          <w:lang w:bidi="ar"/>
        </w:rPr>
        <w:t>违约责任</w:t>
      </w:r>
      <w:bookmarkEnd w:id="55"/>
    </w:p>
    <w:p>
      <w:pPr>
        <w:pStyle w:val="8"/>
        <w:widowControl/>
        <w:numPr>
          <w:ilvl w:val="0"/>
          <w:numId w:val="21"/>
        </w:numPr>
        <w:spacing w:beforeAutospacing="0" w:afterAutospacing="0" w:line="360" w:lineRule="auto"/>
        <w:rPr>
          <w:rFonts w:ascii="Times New Roman" w:hAnsi="Times New Roman" w:eastAsia="宋体"/>
        </w:rPr>
      </w:pPr>
      <w:r>
        <w:rPr>
          <w:rFonts w:ascii="Times New Roman" w:hAnsi="Times New Roman" w:eastAsia="宋体"/>
          <w:lang w:bidi="ar"/>
        </w:rPr>
        <w:t>按《中华人民共和国经济合同法》有关规定，加以双方规定。</w:t>
      </w:r>
    </w:p>
    <w:p>
      <w:pPr>
        <w:pStyle w:val="8"/>
        <w:widowControl/>
        <w:numPr>
          <w:ilvl w:val="0"/>
          <w:numId w:val="21"/>
        </w:numPr>
        <w:spacing w:beforeAutospacing="0" w:afterAutospacing="0" w:line="360" w:lineRule="auto"/>
        <w:rPr>
          <w:rFonts w:ascii="Times New Roman" w:hAnsi="Times New Roman" w:eastAsia="宋体"/>
        </w:rPr>
      </w:pPr>
      <w:r>
        <w:rPr>
          <w:rFonts w:ascii="Times New Roman" w:hAnsi="Times New Roman" w:eastAsia="宋体"/>
          <w:lang w:bidi="ar"/>
        </w:rPr>
        <w:t>乙方延迟交货的，每延迟一日向甲方承担合同总价每日千分之一的违约金，超过30日甲方有权单方解除合同，同时乙方赔偿甲方因此造成的经济损失。</w:t>
      </w:r>
    </w:p>
    <w:p>
      <w:pPr>
        <w:pStyle w:val="8"/>
        <w:widowControl/>
        <w:spacing w:beforeAutospacing="0" w:afterAutospacing="0" w:line="360" w:lineRule="auto"/>
        <w:outlineLvl w:val="0"/>
        <w:rPr>
          <w:rFonts w:ascii="Times New Roman" w:hAnsi="Times New Roman" w:eastAsia="宋体"/>
          <w:lang w:bidi="ar"/>
        </w:rPr>
      </w:pPr>
      <w:bookmarkStart w:id="56" w:name="_Toc85016610"/>
      <w:bookmarkEnd w:id="56"/>
      <w:bookmarkStart w:id="57" w:name="_Toc9317"/>
      <w:r>
        <w:rPr>
          <w:rFonts w:ascii="Times New Roman" w:hAnsi="Times New Roman" w:eastAsia="宋体"/>
          <w:b/>
          <w:bCs/>
          <w:lang w:bidi="ar"/>
        </w:rPr>
        <w:t>十、 不可抗力事件处理</w:t>
      </w:r>
      <w:bookmarkEnd w:id="57"/>
    </w:p>
    <w:p>
      <w:pPr>
        <w:pStyle w:val="8"/>
        <w:widowControl/>
        <w:numPr>
          <w:ilvl w:val="0"/>
          <w:numId w:val="22"/>
        </w:numPr>
        <w:spacing w:beforeAutospacing="0" w:afterAutospacing="0" w:line="360" w:lineRule="auto"/>
        <w:rPr>
          <w:rFonts w:ascii="Times New Roman" w:hAnsi="Times New Roman" w:eastAsia="宋体"/>
        </w:rPr>
      </w:pPr>
      <w:r>
        <w:rPr>
          <w:rFonts w:ascii="Times New Roman" w:hAnsi="Times New Roman" w:eastAsia="宋体"/>
          <w:lang w:bidi="ar"/>
        </w:rPr>
        <w:t>在执行合同期限内，任何一方因不可抗力事件所至不能履行合同，则合同履行期可延长，期延长期与不可抗力影响期相同。</w:t>
      </w:r>
    </w:p>
    <w:p>
      <w:pPr>
        <w:pStyle w:val="8"/>
        <w:widowControl/>
        <w:numPr>
          <w:ilvl w:val="0"/>
          <w:numId w:val="22"/>
        </w:numPr>
        <w:spacing w:beforeAutospacing="0" w:afterAutospacing="0" w:line="360" w:lineRule="auto"/>
        <w:rPr>
          <w:rFonts w:ascii="Times New Roman" w:hAnsi="Times New Roman" w:eastAsia="宋体"/>
        </w:rPr>
      </w:pPr>
      <w:r>
        <w:rPr>
          <w:rFonts w:ascii="Times New Roman" w:hAnsi="Times New Roman" w:eastAsia="宋体"/>
          <w:lang w:bidi="ar"/>
        </w:rPr>
        <w:t>不可抗力事件发生后，应立即通知对方，并寄送有关权威机构出具的证明</w:t>
      </w:r>
      <w:r>
        <w:rPr>
          <w:rFonts w:hint="eastAsia" w:ascii="Times New Roman" w:hAnsi="Times New Roman" w:eastAsia="宋体"/>
          <w:lang w:bidi="ar"/>
        </w:rPr>
        <w:t>。</w:t>
      </w:r>
    </w:p>
    <w:p>
      <w:pPr>
        <w:pStyle w:val="8"/>
        <w:widowControl/>
        <w:numPr>
          <w:ilvl w:val="0"/>
          <w:numId w:val="22"/>
        </w:numPr>
        <w:spacing w:beforeAutospacing="0" w:afterAutospacing="0" w:line="360" w:lineRule="auto"/>
        <w:rPr>
          <w:rFonts w:ascii="Times New Roman" w:hAnsi="Times New Roman" w:eastAsia="宋体"/>
        </w:rPr>
      </w:pPr>
      <w:r>
        <w:rPr>
          <w:rFonts w:ascii="Times New Roman" w:hAnsi="Times New Roman" w:eastAsia="宋体"/>
          <w:lang w:bidi="ar"/>
        </w:rPr>
        <w:t>不可抗力事件延续60天以上，双方应通过友好协商，确定是否继续履行合同。</w:t>
      </w:r>
    </w:p>
    <w:p>
      <w:pPr>
        <w:pStyle w:val="8"/>
        <w:widowControl/>
        <w:spacing w:beforeAutospacing="0" w:afterAutospacing="0" w:line="360" w:lineRule="auto"/>
        <w:outlineLvl w:val="0"/>
        <w:rPr>
          <w:rFonts w:ascii="Times New Roman" w:hAnsi="Times New Roman" w:eastAsia="宋体"/>
        </w:rPr>
      </w:pPr>
      <w:bookmarkStart w:id="58" w:name="_Toc85016611"/>
      <w:bookmarkEnd w:id="58"/>
      <w:bookmarkStart w:id="59" w:name="_Toc37"/>
      <w:r>
        <w:rPr>
          <w:rFonts w:ascii="Times New Roman" w:hAnsi="Times New Roman" w:eastAsia="宋体"/>
          <w:b/>
          <w:bCs/>
          <w:lang w:bidi="ar"/>
        </w:rPr>
        <w:t>十一、 仲裁、诉讼</w:t>
      </w:r>
      <w:bookmarkEnd w:id="59"/>
    </w:p>
    <w:p>
      <w:pPr>
        <w:pStyle w:val="8"/>
        <w:widowControl/>
        <w:spacing w:beforeAutospacing="0" w:afterAutospacing="0" w:line="360" w:lineRule="auto"/>
        <w:ind w:firstLine="420"/>
        <w:rPr>
          <w:rFonts w:ascii="Times New Roman" w:hAnsi="Times New Roman" w:eastAsia="宋体"/>
        </w:rPr>
      </w:pPr>
      <w:r>
        <w:rPr>
          <w:rFonts w:ascii="Times New Roman" w:hAnsi="Times New Roman" w:eastAsia="宋体"/>
          <w:lang w:bidi="ar"/>
        </w:rPr>
        <w:t>双方在执行合同中所发生的一切争议，应通过协商解决。如协商不成，双方应提交买方住所地人民法院裁决。</w:t>
      </w:r>
    </w:p>
    <w:p>
      <w:pPr>
        <w:pStyle w:val="8"/>
        <w:widowControl/>
        <w:spacing w:beforeAutospacing="0" w:afterAutospacing="0" w:line="360" w:lineRule="auto"/>
        <w:outlineLvl w:val="0"/>
        <w:rPr>
          <w:rFonts w:ascii="Times New Roman" w:hAnsi="Times New Roman" w:eastAsia="宋体"/>
          <w:lang w:bidi="ar"/>
        </w:rPr>
      </w:pPr>
      <w:bookmarkStart w:id="60" w:name="_Toc85016612"/>
      <w:bookmarkEnd w:id="60"/>
      <w:bookmarkStart w:id="61" w:name="_Toc11774"/>
      <w:r>
        <w:rPr>
          <w:rFonts w:ascii="Times New Roman" w:hAnsi="Times New Roman" w:eastAsia="宋体"/>
          <w:b/>
          <w:bCs/>
          <w:lang w:bidi="ar"/>
        </w:rPr>
        <w:t>十二、 合同生效及其他</w:t>
      </w:r>
      <w:bookmarkEnd w:id="61"/>
    </w:p>
    <w:p>
      <w:pPr>
        <w:pStyle w:val="8"/>
        <w:widowControl/>
        <w:numPr>
          <w:ilvl w:val="0"/>
          <w:numId w:val="23"/>
        </w:numPr>
        <w:spacing w:beforeAutospacing="0" w:afterAutospacing="0" w:line="360" w:lineRule="auto"/>
        <w:rPr>
          <w:rFonts w:ascii="Times New Roman" w:hAnsi="Times New Roman" w:eastAsia="宋体"/>
        </w:rPr>
      </w:pPr>
      <w:r>
        <w:rPr>
          <w:rFonts w:ascii="Times New Roman" w:hAnsi="Times New Roman" w:eastAsia="宋体"/>
          <w:lang w:bidi="ar"/>
        </w:rPr>
        <w:t>合同经双方签字并加盖公章后生效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18" w:space="1"/>
      </w:pBdr>
      <w:tabs>
        <w:tab w:val="center" w:pos="4252"/>
        <w:tab w:val="right" w:pos="8504"/>
        <w:tab w:val="clear" w:pos="4153"/>
        <w:tab w:val="clear" w:pos="8306"/>
      </w:tabs>
      <w:rPr>
        <w:rFonts w:ascii="Arial" w:hAnsi="Arial"/>
        <w:sz w:val="10"/>
        <w:szCs w:val="10"/>
      </w:rPr>
    </w:pPr>
  </w:p>
  <w:p>
    <w:pPr>
      <w:pStyle w:val="4"/>
      <w:tabs>
        <w:tab w:val="center" w:pos="4252"/>
        <w:tab w:val="right" w:pos="10065"/>
        <w:tab w:val="clear" w:pos="4153"/>
        <w:tab w:val="clear" w:pos="8306"/>
      </w:tabs>
      <w:jc w:val="center"/>
    </w:pPr>
    <w:r>
      <w:rPr>
        <w:rFonts w:hint="eastAsia" w:ascii="Arial" w:hAnsi="Arial" w:cs="Arial"/>
        <w:sz w:val="20"/>
      </w:rPr>
      <w:t>秘密级</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7F71F4"/>
    <w:multiLevelType w:val="multilevel"/>
    <w:tmpl w:val="947F71F4"/>
    <w:lvl w:ilvl="0" w:tentative="0">
      <w:start w:val="5"/>
      <w:numFmt w:val="upperLetter"/>
      <w:suff w:val="nothing"/>
      <w:lvlText w:val="%1-"/>
      <w:lvlJc w:val="left"/>
      <w:pPr>
        <w:ind w:left="75"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9621F0B5"/>
    <w:multiLevelType w:val="singleLevel"/>
    <w:tmpl w:val="9621F0B5"/>
    <w:lvl w:ilvl="0" w:tentative="0">
      <w:start w:val="1"/>
      <w:numFmt w:val="decimal"/>
      <w:lvlText w:val="%1."/>
      <w:lvlJc w:val="left"/>
      <w:pPr>
        <w:ind w:left="425" w:hanging="425"/>
      </w:pPr>
      <w:rPr>
        <w:rFonts w:hint="default"/>
      </w:rPr>
    </w:lvl>
  </w:abstractNum>
  <w:abstractNum w:abstractNumId="2">
    <w:nsid w:val="9E8FFA91"/>
    <w:multiLevelType w:val="singleLevel"/>
    <w:tmpl w:val="9E8FFA91"/>
    <w:lvl w:ilvl="0" w:tentative="0">
      <w:start w:val="1"/>
      <w:numFmt w:val="decimal"/>
      <w:lvlText w:val="%1."/>
      <w:lvlJc w:val="left"/>
      <w:pPr>
        <w:ind w:left="425" w:hanging="425"/>
      </w:pPr>
      <w:rPr>
        <w:rFonts w:hint="default"/>
      </w:rPr>
    </w:lvl>
  </w:abstractNum>
  <w:abstractNum w:abstractNumId="3">
    <w:nsid w:val="A7A6B879"/>
    <w:multiLevelType w:val="singleLevel"/>
    <w:tmpl w:val="A7A6B879"/>
    <w:lvl w:ilvl="0" w:tentative="0">
      <w:start w:val="1"/>
      <w:numFmt w:val="decimal"/>
      <w:lvlText w:val="%1."/>
      <w:lvlJc w:val="left"/>
      <w:pPr>
        <w:ind w:left="425" w:hanging="425"/>
      </w:pPr>
      <w:rPr>
        <w:rFonts w:hint="default"/>
      </w:rPr>
    </w:lvl>
  </w:abstractNum>
  <w:abstractNum w:abstractNumId="4">
    <w:nsid w:val="A85B336B"/>
    <w:multiLevelType w:val="singleLevel"/>
    <w:tmpl w:val="A85B336B"/>
    <w:lvl w:ilvl="0" w:tentative="0">
      <w:start w:val="1"/>
      <w:numFmt w:val="decimal"/>
      <w:lvlText w:val="%1."/>
      <w:lvlJc w:val="left"/>
      <w:pPr>
        <w:ind w:left="425" w:hanging="425"/>
      </w:pPr>
      <w:rPr>
        <w:rFonts w:hint="default"/>
      </w:rPr>
    </w:lvl>
  </w:abstractNum>
  <w:abstractNum w:abstractNumId="5">
    <w:nsid w:val="AA3401E7"/>
    <w:multiLevelType w:val="singleLevel"/>
    <w:tmpl w:val="AA3401E7"/>
    <w:lvl w:ilvl="0" w:tentative="0">
      <w:start w:val="1"/>
      <w:numFmt w:val="decimal"/>
      <w:lvlText w:val="(%1)"/>
      <w:lvlJc w:val="left"/>
      <w:pPr>
        <w:ind w:left="425" w:hanging="425"/>
      </w:pPr>
      <w:rPr>
        <w:rFonts w:hint="default"/>
      </w:rPr>
    </w:lvl>
  </w:abstractNum>
  <w:abstractNum w:abstractNumId="6">
    <w:nsid w:val="B163D908"/>
    <w:multiLevelType w:val="singleLevel"/>
    <w:tmpl w:val="B163D908"/>
    <w:lvl w:ilvl="0" w:tentative="0">
      <w:start w:val="1"/>
      <w:numFmt w:val="decimal"/>
      <w:lvlText w:val="%1."/>
      <w:lvlJc w:val="left"/>
      <w:pPr>
        <w:ind w:left="425" w:hanging="425"/>
      </w:pPr>
      <w:rPr>
        <w:rFonts w:hint="default"/>
      </w:rPr>
    </w:lvl>
  </w:abstractNum>
  <w:abstractNum w:abstractNumId="7">
    <w:nsid w:val="B804D094"/>
    <w:multiLevelType w:val="singleLevel"/>
    <w:tmpl w:val="B804D094"/>
    <w:lvl w:ilvl="0" w:tentative="0">
      <w:start w:val="1"/>
      <w:numFmt w:val="decimal"/>
      <w:lvlText w:val="(%1)"/>
      <w:lvlJc w:val="left"/>
      <w:pPr>
        <w:tabs>
          <w:tab w:val="left" w:pos="420"/>
        </w:tabs>
        <w:ind w:left="845" w:hanging="425"/>
      </w:pPr>
      <w:rPr>
        <w:rFonts w:hint="default"/>
      </w:rPr>
    </w:lvl>
  </w:abstractNum>
  <w:abstractNum w:abstractNumId="8">
    <w:nsid w:val="C2B3677B"/>
    <w:multiLevelType w:val="singleLevel"/>
    <w:tmpl w:val="C2B3677B"/>
    <w:lvl w:ilvl="0" w:tentative="0">
      <w:start w:val="1"/>
      <w:numFmt w:val="decimal"/>
      <w:lvlText w:val="%1."/>
      <w:lvlJc w:val="left"/>
      <w:pPr>
        <w:ind w:left="425" w:hanging="425"/>
      </w:pPr>
      <w:rPr>
        <w:rFonts w:hint="default"/>
      </w:rPr>
    </w:lvl>
  </w:abstractNum>
  <w:abstractNum w:abstractNumId="9">
    <w:nsid w:val="C7D1D533"/>
    <w:multiLevelType w:val="singleLevel"/>
    <w:tmpl w:val="C7D1D533"/>
    <w:lvl w:ilvl="0" w:tentative="0">
      <w:start w:val="1"/>
      <w:numFmt w:val="decimal"/>
      <w:lvlText w:val="(%1)"/>
      <w:lvlJc w:val="left"/>
      <w:pPr>
        <w:tabs>
          <w:tab w:val="left" w:pos="420"/>
        </w:tabs>
        <w:ind w:left="845" w:hanging="425"/>
      </w:pPr>
      <w:rPr>
        <w:rFonts w:hint="default"/>
      </w:rPr>
    </w:lvl>
  </w:abstractNum>
  <w:abstractNum w:abstractNumId="10">
    <w:nsid w:val="D694DB5B"/>
    <w:multiLevelType w:val="singleLevel"/>
    <w:tmpl w:val="D694DB5B"/>
    <w:lvl w:ilvl="0" w:tentative="0">
      <w:start w:val="3"/>
      <w:numFmt w:val="chineseCounting"/>
      <w:suff w:val="nothing"/>
      <w:lvlText w:val="%1、"/>
      <w:lvlJc w:val="left"/>
      <w:pPr>
        <w:ind w:left="0" w:firstLine="420"/>
      </w:pPr>
      <w:rPr>
        <w:rFonts w:hint="eastAsia"/>
        <w:color w:val="000000" w:themeColor="text1"/>
        <w14:textFill>
          <w14:solidFill>
            <w14:schemeClr w14:val="tx1"/>
          </w14:solidFill>
        </w14:textFill>
      </w:rPr>
    </w:lvl>
  </w:abstractNum>
  <w:abstractNum w:abstractNumId="11">
    <w:nsid w:val="F56125DE"/>
    <w:multiLevelType w:val="singleLevel"/>
    <w:tmpl w:val="F56125DE"/>
    <w:lvl w:ilvl="0" w:tentative="0">
      <w:start w:val="1"/>
      <w:numFmt w:val="decimal"/>
      <w:lvlText w:val="(%1)"/>
      <w:lvlJc w:val="left"/>
      <w:pPr>
        <w:tabs>
          <w:tab w:val="left" w:pos="0"/>
        </w:tabs>
        <w:ind w:left="425" w:hanging="425"/>
      </w:pPr>
      <w:rPr>
        <w:rFonts w:hint="default"/>
      </w:rPr>
    </w:lvl>
  </w:abstractNum>
  <w:abstractNum w:abstractNumId="12">
    <w:nsid w:val="FD57318D"/>
    <w:multiLevelType w:val="singleLevel"/>
    <w:tmpl w:val="FD57318D"/>
    <w:lvl w:ilvl="0" w:tentative="0">
      <w:start w:val="1"/>
      <w:numFmt w:val="decimal"/>
      <w:lvlText w:val="(%1)"/>
      <w:lvlJc w:val="left"/>
      <w:pPr>
        <w:tabs>
          <w:tab w:val="left" w:pos="420"/>
        </w:tabs>
        <w:ind w:left="845" w:hanging="425"/>
      </w:pPr>
      <w:rPr>
        <w:rFonts w:hint="default"/>
      </w:rPr>
    </w:lvl>
  </w:abstractNum>
  <w:abstractNum w:abstractNumId="13">
    <w:nsid w:val="13757530"/>
    <w:multiLevelType w:val="singleLevel"/>
    <w:tmpl w:val="13757530"/>
    <w:lvl w:ilvl="0" w:tentative="0">
      <w:start w:val="1"/>
      <w:numFmt w:val="decimal"/>
      <w:lvlText w:val="%1."/>
      <w:lvlJc w:val="left"/>
      <w:pPr>
        <w:ind w:left="425" w:hanging="425"/>
      </w:pPr>
      <w:rPr>
        <w:rFonts w:hint="default"/>
      </w:rPr>
    </w:lvl>
  </w:abstractNum>
  <w:abstractNum w:abstractNumId="14">
    <w:nsid w:val="23DED1DE"/>
    <w:multiLevelType w:val="singleLevel"/>
    <w:tmpl w:val="23DED1DE"/>
    <w:lvl w:ilvl="0" w:tentative="0">
      <w:start w:val="1"/>
      <w:numFmt w:val="decimal"/>
      <w:lvlText w:val="%1."/>
      <w:lvlJc w:val="left"/>
      <w:pPr>
        <w:ind w:left="425" w:hanging="425"/>
      </w:pPr>
      <w:rPr>
        <w:rFonts w:hint="default"/>
      </w:rPr>
    </w:lvl>
  </w:abstractNum>
  <w:abstractNum w:abstractNumId="15">
    <w:nsid w:val="2C6CB25B"/>
    <w:multiLevelType w:val="singleLevel"/>
    <w:tmpl w:val="2C6CB25B"/>
    <w:lvl w:ilvl="0" w:tentative="0">
      <w:start w:val="1"/>
      <w:numFmt w:val="decimal"/>
      <w:lvlText w:val="%1."/>
      <w:lvlJc w:val="left"/>
      <w:pPr>
        <w:ind w:left="425" w:hanging="425"/>
      </w:pPr>
      <w:rPr>
        <w:rFonts w:hint="default"/>
      </w:rPr>
    </w:lvl>
  </w:abstractNum>
  <w:abstractNum w:abstractNumId="16">
    <w:nsid w:val="2EDBA5B9"/>
    <w:multiLevelType w:val="multilevel"/>
    <w:tmpl w:val="2EDBA5B9"/>
    <w:lvl w:ilvl="0" w:tentative="0">
      <w:start w:val="7"/>
      <w:numFmt w:val="chineseCounting"/>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32A81F76"/>
    <w:multiLevelType w:val="singleLevel"/>
    <w:tmpl w:val="32A81F76"/>
    <w:lvl w:ilvl="0" w:tentative="0">
      <w:start w:val="1"/>
      <w:numFmt w:val="decimal"/>
      <w:lvlText w:val="%1."/>
      <w:lvlJc w:val="left"/>
      <w:pPr>
        <w:ind w:left="425" w:hanging="425"/>
      </w:pPr>
      <w:rPr>
        <w:rFonts w:hint="default"/>
      </w:rPr>
    </w:lvl>
  </w:abstractNum>
  <w:abstractNum w:abstractNumId="18">
    <w:nsid w:val="3FA57E4A"/>
    <w:multiLevelType w:val="singleLevel"/>
    <w:tmpl w:val="3FA57E4A"/>
    <w:lvl w:ilvl="0" w:tentative="0">
      <w:start w:val="1"/>
      <w:numFmt w:val="decimal"/>
      <w:lvlText w:val="%1."/>
      <w:lvlJc w:val="left"/>
      <w:pPr>
        <w:ind w:left="425" w:hanging="425"/>
      </w:pPr>
      <w:rPr>
        <w:rFonts w:hint="default"/>
      </w:rPr>
    </w:lvl>
  </w:abstractNum>
  <w:abstractNum w:abstractNumId="19">
    <w:nsid w:val="50C6C62E"/>
    <w:multiLevelType w:val="singleLevel"/>
    <w:tmpl w:val="50C6C62E"/>
    <w:lvl w:ilvl="0" w:tentative="0">
      <w:start w:val="1"/>
      <w:numFmt w:val="chineseCounting"/>
      <w:suff w:val="nothing"/>
      <w:lvlText w:val="%1、"/>
      <w:lvlJc w:val="left"/>
      <w:pPr>
        <w:ind w:left="0" w:firstLine="420"/>
      </w:pPr>
      <w:rPr>
        <w:rFonts w:hint="eastAsia"/>
      </w:rPr>
    </w:lvl>
  </w:abstractNum>
  <w:abstractNum w:abstractNumId="20">
    <w:nsid w:val="5CE161C7"/>
    <w:multiLevelType w:val="singleLevel"/>
    <w:tmpl w:val="5CE161C7"/>
    <w:lvl w:ilvl="0" w:tentative="0">
      <w:start w:val="1"/>
      <w:numFmt w:val="decimal"/>
      <w:lvlText w:val="%1."/>
      <w:lvlJc w:val="left"/>
      <w:pPr>
        <w:ind w:left="425" w:hanging="425"/>
      </w:pPr>
      <w:rPr>
        <w:rFonts w:hint="default"/>
      </w:rPr>
    </w:lvl>
  </w:abstractNum>
  <w:abstractNum w:abstractNumId="21">
    <w:nsid w:val="6B9D3E03"/>
    <w:multiLevelType w:val="singleLevel"/>
    <w:tmpl w:val="6B9D3E03"/>
    <w:lvl w:ilvl="0" w:tentative="0">
      <w:start w:val="1"/>
      <w:numFmt w:val="decimal"/>
      <w:lvlText w:val="%1."/>
      <w:lvlJc w:val="left"/>
      <w:pPr>
        <w:ind w:left="425" w:hanging="425"/>
      </w:pPr>
      <w:rPr>
        <w:rFonts w:hint="default"/>
      </w:rPr>
    </w:lvl>
  </w:abstractNum>
  <w:abstractNum w:abstractNumId="22">
    <w:nsid w:val="7C2D7A10"/>
    <w:multiLevelType w:val="singleLevel"/>
    <w:tmpl w:val="7C2D7A10"/>
    <w:lvl w:ilvl="0" w:tentative="0">
      <w:start w:val="1"/>
      <w:numFmt w:val="decimal"/>
      <w:lvlText w:val="%1."/>
      <w:lvlJc w:val="left"/>
      <w:pPr>
        <w:ind w:left="425" w:hanging="425"/>
      </w:pPr>
      <w:rPr>
        <w:rFonts w:hint="default"/>
      </w:rPr>
    </w:lvl>
  </w:abstractNum>
  <w:num w:numId="1">
    <w:abstractNumId w:val="19"/>
  </w:num>
  <w:num w:numId="2">
    <w:abstractNumId w:val="3"/>
  </w:num>
  <w:num w:numId="3">
    <w:abstractNumId w:val="0"/>
  </w:num>
  <w:num w:numId="4">
    <w:abstractNumId w:val="22"/>
  </w:num>
  <w:num w:numId="5">
    <w:abstractNumId w:val="11"/>
  </w:num>
  <w:num w:numId="6">
    <w:abstractNumId w:val="12"/>
  </w:num>
  <w:num w:numId="7">
    <w:abstractNumId w:val="10"/>
  </w:num>
  <w:num w:numId="8">
    <w:abstractNumId w:val="17"/>
  </w:num>
  <w:num w:numId="9">
    <w:abstractNumId w:val="5"/>
  </w:num>
  <w:num w:numId="10">
    <w:abstractNumId w:val="7"/>
  </w:num>
  <w:num w:numId="11">
    <w:abstractNumId w:val="21"/>
  </w:num>
  <w:num w:numId="12">
    <w:abstractNumId w:val="4"/>
  </w:num>
  <w:num w:numId="13">
    <w:abstractNumId w:val="6"/>
  </w:num>
  <w:num w:numId="14">
    <w:abstractNumId w:val="15"/>
  </w:num>
  <w:num w:numId="15">
    <w:abstractNumId w:val="13"/>
  </w:num>
  <w:num w:numId="16">
    <w:abstractNumId w:val="9"/>
  </w:num>
  <w:num w:numId="17">
    <w:abstractNumId w:val="14"/>
  </w:num>
  <w:num w:numId="18">
    <w:abstractNumId w:val="18"/>
  </w:num>
  <w:num w:numId="19">
    <w:abstractNumId w:val="16"/>
  </w:num>
  <w:num w:numId="20">
    <w:abstractNumId w:val="20"/>
  </w:num>
  <w:num w:numId="21">
    <w:abstractNumId w:val="2"/>
  </w:num>
  <w:num w:numId="22">
    <w:abstractNumId w:val="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14B"/>
    <w:rsid w:val="00126458"/>
    <w:rsid w:val="00C7214B"/>
    <w:rsid w:val="00DF4015"/>
    <w:rsid w:val="036D60B5"/>
    <w:rsid w:val="04800993"/>
    <w:rsid w:val="0506681D"/>
    <w:rsid w:val="063E4394"/>
    <w:rsid w:val="09362835"/>
    <w:rsid w:val="10770C29"/>
    <w:rsid w:val="121B1FCB"/>
    <w:rsid w:val="159C716D"/>
    <w:rsid w:val="1701185A"/>
    <w:rsid w:val="1BFF71F2"/>
    <w:rsid w:val="1DF20628"/>
    <w:rsid w:val="206770AC"/>
    <w:rsid w:val="216929AF"/>
    <w:rsid w:val="271C35FC"/>
    <w:rsid w:val="2F990904"/>
    <w:rsid w:val="33CC4A26"/>
    <w:rsid w:val="33ED5D8B"/>
    <w:rsid w:val="3A3A78DB"/>
    <w:rsid w:val="3F021F8C"/>
    <w:rsid w:val="403370F6"/>
    <w:rsid w:val="42DD4000"/>
    <w:rsid w:val="43EF4E5B"/>
    <w:rsid w:val="444D5EEB"/>
    <w:rsid w:val="445E110A"/>
    <w:rsid w:val="4660760F"/>
    <w:rsid w:val="46916381"/>
    <w:rsid w:val="4B637BEA"/>
    <w:rsid w:val="4FA248A1"/>
    <w:rsid w:val="501A73E7"/>
    <w:rsid w:val="576654D7"/>
    <w:rsid w:val="59806267"/>
    <w:rsid w:val="59BB72AA"/>
    <w:rsid w:val="59E931D1"/>
    <w:rsid w:val="5C7C62B2"/>
    <w:rsid w:val="5D1E6CA9"/>
    <w:rsid w:val="63DE7120"/>
    <w:rsid w:val="6663343E"/>
    <w:rsid w:val="67090B1A"/>
    <w:rsid w:val="6BA66EEC"/>
    <w:rsid w:val="6D6F4477"/>
    <w:rsid w:val="6E2C74B5"/>
    <w:rsid w:val="70185964"/>
    <w:rsid w:val="71706A0F"/>
    <w:rsid w:val="7A5051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hint="eastAsia" w:ascii="宋体" w:hAnsi="Courier New" w:eastAsia="宋体" w:cs="Times New Roman"/>
      <w:szCs w:val="21"/>
    </w:rPr>
  </w:style>
  <w:style w:type="paragraph" w:styleId="3">
    <w:name w:val="Balloon Text"/>
    <w:basedOn w:val="1"/>
    <w:link w:val="20"/>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1"/>
    <w:basedOn w:val="1"/>
    <w:next w:val="1"/>
    <w:unhideWhenUsed/>
    <w:qFormat/>
    <w:uiPriority w:val="39"/>
    <w:pPr>
      <w:jc w:val="left"/>
    </w:pPr>
    <w:rPr>
      <w:rFonts w:ascii="Courier New" w:hAnsi="Courier New" w:cs="Times New Roman"/>
      <w:kern w:val="0"/>
      <w:sz w:val="24"/>
    </w:rPr>
  </w:style>
  <w:style w:type="paragraph" w:styleId="7">
    <w:name w:val="toc 2"/>
    <w:basedOn w:val="1"/>
    <w:next w:val="1"/>
    <w:unhideWhenUsed/>
    <w:qFormat/>
    <w:uiPriority w:val="39"/>
    <w:pPr>
      <w:ind w:left="420" w:leftChars="200"/>
      <w:jc w:val="left"/>
    </w:pPr>
    <w:rPr>
      <w:rFonts w:ascii="Courier New" w:hAnsi="Courier New" w:cs="Times New Roman"/>
      <w:kern w:val="0"/>
      <w:sz w:val="24"/>
    </w:rPr>
  </w:style>
  <w:style w:type="paragraph" w:styleId="8">
    <w:name w:val="Normal (Web)"/>
    <w:basedOn w:val="1"/>
    <w:unhideWhenUsed/>
    <w:qFormat/>
    <w:uiPriority w:val="0"/>
    <w:pPr>
      <w:spacing w:beforeAutospacing="1" w:afterAutospacing="1"/>
      <w:jc w:val="left"/>
    </w:pPr>
    <w:rPr>
      <w:rFonts w:ascii="宋体" w:hAnsi="宋体" w:cs="Times New Roman"/>
      <w:kern w:val="0"/>
      <w:sz w:val="24"/>
    </w:rPr>
  </w:style>
  <w:style w:type="character" w:styleId="11">
    <w:name w:val="FollowedHyperlink"/>
    <w:basedOn w:val="10"/>
    <w:qFormat/>
    <w:uiPriority w:val="0"/>
    <w:rPr>
      <w:color w:val="800080"/>
      <w:u w:val="single"/>
    </w:rPr>
  </w:style>
  <w:style w:type="character" w:styleId="12">
    <w:name w:val="Hyperlink"/>
    <w:basedOn w:val="10"/>
    <w:unhideWhenUsed/>
    <w:qFormat/>
    <w:uiPriority w:val="99"/>
    <w:rPr>
      <w:color w:val="0000FF"/>
      <w:u w:val="single"/>
    </w:rPr>
  </w:style>
  <w:style w:type="character" w:customStyle="1" w:styleId="13">
    <w:name w:val="16"/>
    <w:basedOn w:val="10"/>
    <w:qFormat/>
    <w:uiPriority w:val="0"/>
    <w:rPr>
      <w:rFonts w:hint="default" w:ascii="Times New Roman" w:hAnsi="Times New Roman" w:cs="Times New Roman"/>
      <w:color w:val="0000FF"/>
      <w:u w:val="single"/>
    </w:rPr>
  </w:style>
  <w:style w:type="character" w:customStyle="1" w:styleId="14">
    <w:name w:val="15"/>
    <w:basedOn w:val="10"/>
    <w:qFormat/>
    <w:uiPriority w:val="0"/>
    <w:rPr>
      <w:rFonts w:hint="default" w:ascii="Times New Roman" w:hAnsi="Times New Roman" w:cs="Times New Roman"/>
      <w:b/>
      <w:bCs/>
      <w:smallCaps/>
      <w:spacing w:val="5"/>
    </w:rPr>
  </w:style>
  <w:style w:type="character" w:customStyle="1" w:styleId="15">
    <w:name w:val="17"/>
    <w:basedOn w:val="10"/>
    <w:qFormat/>
    <w:uiPriority w:val="0"/>
    <w:rPr>
      <w:sz w:val="24"/>
      <w:szCs w:val="24"/>
    </w:rPr>
  </w:style>
  <w:style w:type="paragraph" w:customStyle="1" w:styleId="16">
    <w:name w:val="p12"/>
    <w:basedOn w:val="1"/>
    <w:qFormat/>
    <w:uiPriority w:val="0"/>
    <w:pPr>
      <w:spacing w:beforeAutospacing="1" w:afterAutospacing="1"/>
      <w:jc w:val="left"/>
    </w:pPr>
    <w:rPr>
      <w:rFonts w:ascii="宋体" w:hAnsi="宋体" w:cs="Times New Roman"/>
      <w:color w:val="000000"/>
      <w:kern w:val="0"/>
      <w:sz w:val="24"/>
    </w:rPr>
  </w:style>
  <w:style w:type="paragraph" w:customStyle="1" w:styleId="17">
    <w:name w:val="TOC 标题1"/>
    <w:hidden/>
    <w:qFormat/>
    <w:uiPriority w:val="0"/>
    <w:pPr>
      <w:keepNext/>
      <w:keepLines/>
      <w:widowControl w:val="0"/>
      <w:spacing w:before="340" w:after="330" w:line="576" w:lineRule="auto"/>
    </w:pPr>
    <w:rPr>
      <w:rFonts w:ascii="Courier New" w:hAnsi="Courier New" w:eastAsia="宋体" w:cs="Times New Roman"/>
      <w:b/>
      <w:bCs/>
      <w:kern w:val="44"/>
      <w:sz w:val="44"/>
      <w:szCs w:val="44"/>
      <w:lang w:val="en-US" w:eastAsia="zh-CN" w:bidi="ar-SA"/>
    </w:rPr>
  </w:style>
  <w:style w:type="paragraph" w:customStyle="1" w:styleId="18">
    <w:name w:val="WPSOffice手动目录 1"/>
    <w:qFormat/>
    <w:uiPriority w:val="0"/>
    <w:rPr>
      <w:rFonts w:ascii="Times New Roman" w:hAnsi="Times New Roman" w:eastAsia="宋体" w:cs="Times New Roman"/>
      <w:lang w:val="en-US" w:eastAsia="zh-CN" w:bidi="ar-SA"/>
    </w:rPr>
  </w:style>
  <w:style w:type="paragraph" w:customStyle="1" w:styleId="19">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0">
    <w:name w:val="批注框文本 Char"/>
    <w:basedOn w:val="10"/>
    <w:link w:val="3"/>
    <w:qFormat/>
    <w:uiPriority w:val="0"/>
    <w:rPr>
      <w:rFonts w:asciiTheme="minorHAnsi" w:hAnsiTheme="minorHAnsi" w:eastAsiaTheme="minorEastAsia" w:cstheme="minorBidi"/>
      <w:kern w:val="2"/>
      <w:sz w:val="18"/>
      <w:szCs w:val="18"/>
    </w:rPr>
  </w:style>
  <w:style w:type="character" w:customStyle="1" w:styleId="21">
    <w:name w:val="font01"/>
    <w:basedOn w:val="10"/>
    <w:uiPriority w:val="0"/>
    <w:rPr>
      <w:rFonts w:hint="default" w:ascii="Times New Roman" w:hAnsi="Times New Roman" w:cs="Times New Roman"/>
      <w:color w:val="000000"/>
      <w:sz w:val="24"/>
      <w:szCs w:val="24"/>
      <w:u w:val="none"/>
    </w:rPr>
  </w:style>
  <w:style w:type="character" w:customStyle="1" w:styleId="22">
    <w:name w:val="font31"/>
    <w:basedOn w:val="10"/>
    <w:uiPriority w:val="0"/>
    <w:rPr>
      <w:rFonts w:hint="eastAsia" w:ascii="宋体" w:hAnsi="宋体" w:eastAsia="宋体" w:cs="宋体"/>
      <w:color w:val="000000"/>
      <w:sz w:val="24"/>
      <w:szCs w:val="24"/>
      <w:u w:val="none"/>
    </w:rPr>
  </w:style>
  <w:style w:type="character" w:customStyle="1" w:styleId="23">
    <w:name w:val="font41"/>
    <w:basedOn w:val="10"/>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842</Words>
  <Characters>4800</Characters>
  <Lines>40</Lines>
  <Paragraphs>11</Paragraphs>
  <TotalTime>14</TotalTime>
  <ScaleCrop>false</ScaleCrop>
  <LinksUpToDate>false</LinksUpToDate>
  <CharactersWithSpaces>5631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2022-01-07T01:39:00Z</dcterms:created>
  <dc:creator>Administrator</dc:creator>
  <cp:lastModifiedBy>Epingdr</cp:lastModifiedBy>
  <dcterms:modified xsi:type="dcterms:W3CDTF">2022-02-22T01:03:35Z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CAA6EE6281B540B58463186F16910AF8</vt:lpwstr>
  </property>
</Properties>
</file>